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3C266">
      <w:pPr>
        <w:spacing w:line="720" w:lineRule="exact"/>
        <w:jc w:val="center"/>
        <w:rPr>
          <w:rFonts w:hint="eastAsia" w:eastAsia="方正小标宋_GBK"/>
          <w:sz w:val="44"/>
          <w:szCs w:val="44"/>
        </w:rPr>
      </w:pPr>
      <w:r>
        <w:rPr>
          <w:rFonts w:hint="eastAsia" w:ascii="方正小标宋_GBK" w:eastAsia="方正小标宋_GBK"/>
          <w:sz w:val="44"/>
          <w:szCs w:val="44"/>
        </w:rPr>
        <w:t>南京证券股份有限公司</w:t>
      </w:r>
    </w:p>
    <w:p w14:paraId="4D89D7EF">
      <w:pPr>
        <w:spacing w:line="720" w:lineRule="exact"/>
        <w:jc w:val="center"/>
        <w:rPr>
          <w:rFonts w:eastAsia="方正小标宋_GBK"/>
          <w:sz w:val="44"/>
          <w:szCs w:val="44"/>
        </w:rPr>
      </w:pPr>
      <w:r>
        <w:rPr>
          <w:rFonts w:hint="eastAsia" w:ascii="方正小标宋_GBK" w:eastAsia="方正小标宋_GBK"/>
          <w:sz w:val="44"/>
          <w:szCs w:val="44"/>
        </w:rPr>
        <w:t>创业板投资风险揭示书</w:t>
      </w:r>
    </w:p>
    <w:p w14:paraId="5339441B">
      <w:pPr>
        <w:adjustRightInd w:val="0"/>
        <w:snapToGrid w:val="0"/>
        <w:spacing w:line="560" w:lineRule="exact"/>
        <w:jc w:val="left"/>
        <w:rPr>
          <w:rFonts w:eastAsia="方正仿宋_GBK"/>
          <w:kern w:val="0"/>
          <w:sz w:val="32"/>
          <w:szCs w:val="32"/>
        </w:rPr>
      </w:pPr>
    </w:p>
    <w:p w14:paraId="7C4F2E3C">
      <w:pPr>
        <w:adjustRightInd w:val="0"/>
        <w:snapToGrid w:val="0"/>
        <w:spacing w:line="560" w:lineRule="exact"/>
        <w:jc w:val="left"/>
        <w:rPr>
          <w:rFonts w:eastAsia="方正仿宋_GBK"/>
          <w:sz w:val="32"/>
          <w:szCs w:val="32"/>
        </w:rPr>
      </w:pPr>
      <w:r>
        <w:rPr>
          <w:rFonts w:hint="eastAsia" w:ascii="方正仿宋_GBK" w:eastAsia="方正仿宋_GBK"/>
          <w:sz w:val="32"/>
          <w:szCs w:val="32"/>
        </w:rPr>
        <w:t>尊敬的投资者：</w:t>
      </w:r>
    </w:p>
    <w:p w14:paraId="068EAB2C">
      <w:pPr>
        <w:adjustRightInd w:val="0"/>
        <w:spacing w:line="560" w:lineRule="exact"/>
        <w:ind w:firstLine="640" w:firstLineChars="200"/>
        <w:rPr>
          <w:rFonts w:eastAsia="方正仿宋_GBK"/>
          <w:sz w:val="32"/>
          <w:szCs w:val="32"/>
        </w:rPr>
      </w:pPr>
      <w:r>
        <w:rPr>
          <w:rFonts w:hint="eastAsia" w:ascii="方正仿宋_GBK" w:eastAsia="方正仿宋_GBK"/>
          <w:sz w:val="32"/>
          <w:szCs w:val="32"/>
        </w:rPr>
        <w:t>与主板市场相比，创业板有其特有的风险，为了使您更好地了解创业板投资的基本知识和相关风险，根据有关法律、法规、规章和规则的规定，本公司特向您进行如下风险揭示，在您决定参与创业板股票、存托凭证申购、交易（以下统称创业板交易业务）之前，请认真阅读并签署。</w:t>
      </w:r>
    </w:p>
    <w:p w14:paraId="1428F1BF">
      <w:pPr>
        <w:adjustRightInd w:val="0"/>
        <w:spacing w:line="560" w:lineRule="exact"/>
        <w:ind w:firstLine="640" w:firstLineChars="200"/>
        <w:rPr>
          <w:rFonts w:eastAsia="方正仿宋_GBK"/>
          <w:kern w:val="0"/>
          <w:sz w:val="32"/>
          <w:szCs w:val="32"/>
        </w:rPr>
      </w:pPr>
      <w:r>
        <w:rPr>
          <w:rFonts w:hint="eastAsia" w:ascii="方正仿宋_GBK" w:eastAsia="方正仿宋_GBK"/>
          <w:sz w:val="32"/>
          <w:szCs w:val="32"/>
        </w:rPr>
        <w:t>我们郑重提醒您：您在申请开通创业板交易业务时，请配合本公司开展的投资者适当性管理工作，完整、如实提供所需信息。如不能做到，本公司可以拒绝为您提供开通创业板交易业务服务。</w:t>
      </w:r>
    </w:p>
    <w:p w14:paraId="03AA2DE2">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一、</w:t>
      </w:r>
      <w:r>
        <w:rPr>
          <w:rFonts w:hint="eastAsia" w:ascii="方正仿宋_GBK" w:eastAsia="方正仿宋_GBK"/>
          <w:sz w:val="32"/>
          <w:szCs w:val="32"/>
          <w:u w:val="single"/>
          <w:lang w:val="en-US" w:eastAsia="zh-CN"/>
        </w:rPr>
        <w:t>投资者</w:t>
      </w:r>
      <w:r>
        <w:rPr>
          <w:rFonts w:hint="eastAsia" w:ascii="方正仿宋_GBK" w:eastAsia="方正仿宋_GBK"/>
          <w:sz w:val="32"/>
          <w:szCs w:val="32"/>
          <w:u w:val="single"/>
        </w:rPr>
        <w:t>在参与创业板股票投资前，</w:t>
      </w:r>
      <w:r>
        <w:rPr>
          <w:rFonts w:hint="eastAsia" w:ascii="方正仿宋_GBK" w:eastAsia="方正仿宋_GBK"/>
          <w:sz w:val="32"/>
          <w:szCs w:val="32"/>
          <w:u w:val="single"/>
          <w:lang w:val="en-US" w:eastAsia="zh-CN"/>
        </w:rPr>
        <w:t>应当</w:t>
      </w:r>
      <w:r>
        <w:rPr>
          <w:rFonts w:hint="eastAsia" w:ascii="方正仿宋_GBK" w:eastAsia="方正仿宋_GBK"/>
          <w:sz w:val="32"/>
          <w:szCs w:val="32"/>
          <w:u w:val="single"/>
        </w:rPr>
        <w:t>充分知悉创业板股票发行、上市、交易、持续监管等相关制度安排，深入了解相关上市公司基本面情况，并根据自身财务状况、风险承受能力等，审慎考虑是否申购、交易创业板股票。</w:t>
      </w:r>
    </w:p>
    <w:p w14:paraId="01EA561F">
      <w:pPr>
        <w:spacing w:line="560" w:lineRule="exact"/>
        <w:ind w:firstLine="640" w:firstLineChars="200"/>
        <w:rPr>
          <w:rFonts w:hint="eastAsia" w:ascii="方正仿宋_GBK" w:eastAsia="方正仿宋_GBK"/>
          <w:sz w:val="32"/>
          <w:szCs w:val="32"/>
          <w:u w:val="single"/>
        </w:rPr>
      </w:pPr>
      <w:r>
        <w:rPr>
          <w:rFonts w:hint="eastAsia" w:ascii="方正仿宋_GBK" w:eastAsia="方正仿宋_GBK"/>
          <w:sz w:val="32"/>
          <w:szCs w:val="32"/>
        </w:rPr>
        <w:t>二、</w:t>
      </w:r>
      <w:r>
        <w:rPr>
          <w:rFonts w:hint="eastAsia" w:ascii="方正仿宋_GBK" w:eastAsia="方正仿宋_GBK"/>
          <w:sz w:val="32"/>
          <w:szCs w:val="32"/>
          <w:u w:val="single"/>
        </w:rPr>
        <w:t>创业板上市公司往往涉足新技术、新产业、新业态、新模式，具有初期投入高、技术迭代快、业绩波动大等特点，公司上市后的持续</w:t>
      </w:r>
      <w:bookmarkStart w:id="0" w:name="_GoBack"/>
      <w:bookmarkEnd w:id="0"/>
      <w:r>
        <w:rPr>
          <w:rFonts w:hint="eastAsia" w:ascii="方正仿宋_GBK" w:eastAsia="方正仿宋_GBK"/>
          <w:sz w:val="32"/>
          <w:szCs w:val="32"/>
          <w:u w:val="single"/>
        </w:rPr>
        <w:t>创新能力、盈利能力、发展潜力和抗风险能力等具有不确定性。投资者应当关注相关风险。</w:t>
      </w:r>
    </w:p>
    <w:p w14:paraId="25E67F88">
      <w:pPr>
        <w:spacing w:line="560" w:lineRule="exact"/>
        <w:ind w:firstLine="640" w:firstLineChars="200"/>
        <w:rPr>
          <w:rFonts w:eastAsia="方正仿宋_GBK"/>
          <w:sz w:val="32"/>
          <w:szCs w:val="32"/>
        </w:rPr>
      </w:pPr>
      <w:r>
        <w:rPr>
          <w:rFonts w:hint="eastAsia" w:ascii="方正仿宋_GBK" w:eastAsia="方正仿宋_GBK"/>
          <w:sz w:val="32"/>
          <w:szCs w:val="32"/>
        </w:rPr>
        <w:t>三、</w:t>
      </w:r>
      <w:r>
        <w:rPr>
          <w:rFonts w:hint="eastAsia" w:ascii="方正仿宋_GBK" w:eastAsia="方正仿宋_GBK"/>
          <w:sz w:val="32"/>
          <w:szCs w:val="32"/>
          <w:u w:val="none"/>
        </w:rPr>
        <w:t>创业板上市公司可能存在首次公开发行前最近 3 个会计年度未能连续盈利、公开发行并上市时尚未盈利、有累计未弥补亏损等情形，以及上市后盈利状况无法改善、无法进行利润分配等情形。</w:t>
      </w:r>
      <w:r>
        <w:rPr>
          <w:rFonts w:hint="eastAsia" w:ascii="方正仿宋_GBK" w:eastAsia="方正仿宋_GBK"/>
          <w:sz w:val="32"/>
          <w:szCs w:val="32"/>
          <w:lang w:val="en-US" w:eastAsia="zh-CN"/>
        </w:rPr>
        <w:t>投资者</w:t>
      </w:r>
      <w:r>
        <w:rPr>
          <w:rFonts w:hint="eastAsia" w:ascii="方正仿宋_GBK" w:eastAsia="方正仿宋_GBK"/>
          <w:sz w:val="32"/>
          <w:szCs w:val="32"/>
        </w:rPr>
        <w:t>应当充分关注并理性看待相关风险，审慎作出投资决策。</w:t>
      </w:r>
    </w:p>
    <w:p w14:paraId="1A916E8D">
      <w:pPr>
        <w:spacing w:line="560" w:lineRule="exact"/>
        <w:ind w:firstLine="640" w:firstLineChars="200"/>
        <w:rPr>
          <w:rFonts w:eastAsia="方正仿宋_GBK"/>
          <w:sz w:val="32"/>
          <w:szCs w:val="32"/>
        </w:rPr>
      </w:pPr>
      <w:r>
        <w:rPr>
          <w:rFonts w:hint="eastAsia" w:ascii="方正仿宋_GBK" w:eastAsia="方正仿宋_GBK"/>
          <w:sz w:val="32"/>
          <w:szCs w:val="32"/>
        </w:rPr>
        <w:t>四、创业板新股发行价格、规模、节奏等坚持市场化导向，可能采用直接定价和询价定价方式发行。采用询价定价方式的，询价对象限定在证券公司等专业机构投资者，而个人投资者无法直接参与发行定价。</w:t>
      </w:r>
      <w:r>
        <w:rPr>
          <w:rFonts w:hint="eastAsia" w:ascii="方正仿宋_GBK" w:eastAsia="方正仿宋_GBK"/>
          <w:sz w:val="32"/>
          <w:szCs w:val="32"/>
          <w:u w:val="single"/>
        </w:rPr>
        <w:t>同时，部分创业板公司发行定价可能不适用传统估值方法，上市后可能存在股价波动风险。</w:t>
      </w:r>
    </w:p>
    <w:p w14:paraId="66F42DE2">
      <w:pPr>
        <w:spacing w:line="560" w:lineRule="exact"/>
        <w:ind w:firstLine="640" w:firstLineChars="200"/>
        <w:rPr>
          <w:rFonts w:eastAsia="方正仿宋_GBK"/>
          <w:sz w:val="32"/>
          <w:szCs w:val="32"/>
        </w:rPr>
      </w:pPr>
      <w:r>
        <w:rPr>
          <w:rFonts w:hint="eastAsia" w:ascii="方正仿宋_GBK" w:eastAsia="方正仿宋_GBK"/>
          <w:sz w:val="32"/>
          <w:szCs w:val="32"/>
        </w:rPr>
        <w:t>五、初步询价结束后，创业板发行人预计发行后总市值不满足其在招股说明书中明确选择的市值与财务指标上市标准的，将按规定中止发行。</w:t>
      </w:r>
    </w:p>
    <w:p w14:paraId="3A7F5082">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rPr>
        <w:t>六、根据首次公开发行创业板股票发行后总股本差异、是否为未盈利企业，网上初始发行比例可能有所差别；根据网上投资者有效申购倍数差异，可能存在不同的网下向网上回拨比例。</w:t>
      </w:r>
      <w:r>
        <w:rPr>
          <w:rFonts w:hint="eastAsia" w:ascii="方正仿宋_GBK" w:eastAsia="方正仿宋_GBK"/>
          <w:sz w:val="32"/>
          <w:szCs w:val="32"/>
          <w:u w:val="single"/>
        </w:rPr>
        <w:t>创业板股票网上发行比例、网下向网上回拨比例与深交所主板股票存在差异</w:t>
      </w:r>
      <w:r>
        <w:rPr>
          <w:rFonts w:hint="eastAsia" w:ascii="方正仿宋_GBK" w:eastAsia="方正仿宋_GBK"/>
          <w:sz w:val="32"/>
          <w:szCs w:val="32"/>
          <w:u w:val="single"/>
          <w:lang w:eastAsia="zh-CN"/>
        </w:rPr>
        <w:t>，</w:t>
      </w:r>
      <w:r>
        <w:rPr>
          <w:rFonts w:hint="eastAsia" w:ascii="方正仿宋_GBK" w:eastAsia="方正仿宋_GBK"/>
          <w:sz w:val="32"/>
          <w:szCs w:val="32"/>
          <w:u w:val="single"/>
        </w:rPr>
        <w:t>投资者应当关注。</w:t>
      </w:r>
    </w:p>
    <w:p w14:paraId="3CED3E92">
      <w:pPr>
        <w:spacing w:line="560" w:lineRule="exact"/>
        <w:ind w:firstLine="640" w:firstLineChars="200"/>
        <w:rPr>
          <w:rFonts w:eastAsia="方正仿宋_GBK"/>
          <w:sz w:val="32"/>
          <w:szCs w:val="32"/>
        </w:rPr>
      </w:pPr>
      <w:r>
        <w:rPr>
          <w:rFonts w:hint="eastAsia" w:ascii="方正仿宋_GBK" w:eastAsia="方正仿宋_GBK"/>
          <w:sz w:val="32"/>
          <w:szCs w:val="32"/>
        </w:rPr>
        <w:t>七、首次公开发行股票时，发行人和主承销商可以采用超额配售选择权，即存在发行人增发股票的可能性。</w:t>
      </w:r>
    </w:p>
    <w:p w14:paraId="66A13C91">
      <w:pPr>
        <w:spacing w:line="560" w:lineRule="exact"/>
        <w:ind w:firstLine="640" w:firstLineChars="200"/>
        <w:rPr>
          <w:rFonts w:hint="eastAsia" w:ascii="方正仿宋_GBK" w:eastAsia="方正仿宋_GBK"/>
          <w:sz w:val="32"/>
          <w:szCs w:val="32"/>
          <w:u w:val="single"/>
        </w:rPr>
      </w:pPr>
      <w:r>
        <w:rPr>
          <w:rFonts w:hint="eastAsia" w:ascii="方正仿宋_GBK" w:eastAsia="方正仿宋_GBK"/>
          <w:sz w:val="32"/>
          <w:szCs w:val="32"/>
        </w:rPr>
        <w:t>八、</w:t>
      </w:r>
      <w:r>
        <w:rPr>
          <w:rFonts w:hint="eastAsia" w:ascii="方正仿宋_GBK" w:eastAsia="方正仿宋_GBK"/>
          <w:sz w:val="32"/>
          <w:szCs w:val="32"/>
          <w:u w:val="single"/>
        </w:rPr>
        <w:t>上市时未盈利的创业板公司，在实现盈利前按照规定应当在年度报告中披露尚未盈利的原因以及对公司的影响，在年度报告首页的显著位置提示公司尚未盈利的风险。创业板公司出现对其技术创新与研发能力、成长前景以及盈利改善有重大影响的风险或者负面事项的，按照规定应当及时披露具体情况及其影响。</w:t>
      </w:r>
      <w:r>
        <w:rPr>
          <w:rFonts w:hint="eastAsia" w:ascii="方正仿宋_GBK" w:eastAsia="方正仿宋_GBK"/>
          <w:sz w:val="32"/>
          <w:szCs w:val="32"/>
          <w:u w:val="single"/>
          <w:lang w:val="en-US" w:eastAsia="zh-CN"/>
        </w:rPr>
        <w:t>投资者</w:t>
      </w:r>
      <w:r>
        <w:rPr>
          <w:rFonts w:hint="eastAsia" w:ascii="方正仿宋_GBK" w:eastAsia="方正仿宋_GBK"/>
          <w:sz w:val="32"/>
          <w:szCs w:val="32"/>
          <w:u w:val="single"/>
        </w:rPr>
        <w:t>应当及时关注公司披露的年度报告及其他公告，持续了解相关风险。</w:t>
      </w:r>
    </w:p>
    <w:p w14:paraId="5F0A77A7">
      <w:pPr>
        <w:spacing w:line="560" w:lineRule="exact"/>
        <w:ind w:firstLine="640" w:firstLineChars="200"/>
        <w:rPr>
          <w:rFonts w:hint="eastAsia" w:ascii="方正仿宋_GBK" w:eastAsia="方正仿宋_GBK"/>
          <w:sz w:val="32"/>
          <w:szCs w:val="32"/>
          <w:u w:val="single"/>
        </w:rPr>
      </w:pPr>
      <w:r>
        <w:rPr>
          <w:rFonts w:hint="eastAsia" w:ascii="方正仿宋_GBK" w:eastAsia="方正仿宋_GBK"/>
          <w:sz w:val="32"/>
          <w:szCs w:val="32"/>
          <w:u w:val="none"/>
        </w:rPr>
        <w:t>九、创业板上市公司可能主动终止上市，也可能因触及退市情形被强制终止上市。主动终止上市以及因触及交易类强制退市情形被终止上市的，不进入退市整理期，直接予以摘牌；因触及财务类、规范类或者重大违法类强制退市情形被终止上市的，进入退市整理期交易15个交易日后予以摘牌。</w:t>
      </w:r>
      <w:r>
        <w:rPr>
          <w:rFonts w:hint="eastAsia" w:ascii="方正仿宋_GBK" w:eastAsia="方正仿宋_GBK"/>
          <w:sz w:val="32"/>
          <w:szCs w:val="32"/>
          <w:u w:val="none"/>
          <w:lang w:val="en-US" w:eastAsia="zh-CN"/>
        </w:rPr>
        <w:t>投资者</w:t>
      </w:r>
      <w:r>
        <w:rPr>
          <w:rFonts w:hint="eastAsia" w:ascii="方正仿宋_GBK" w:eastAsia="方正仿宋_GBK"/>
          <w:sz w:val="32"/>
          <w:szCs w:val="32"/>
          <w:u w:val="none"/>
        </w:rPr>
        <w:t>应当及时了解相关信息和规定，密切关注退市风险。</w:t>
      </w:r>
    </w:p>
    <w:p w14:paraId="2DB7BCBA">
      <w:pPr>
        <w:spacing w:line="560" w:lineRule="exact"/>
        <w:ind w:firstLine="640" w:firstLineChars="200"/>
        <w:rPr>
          <w:rFonts w:eastAsia="方正仿宋_GBK"/>
          <w:sz w:val="32"/>
          <w:szCs w:val="32"/>
          <w:u w:val="none"/>
        </w:rPr>
      </w:pPr>
      <w:r>
        <w:rPr>
          <w:rFonts w:hint="eastAsia" w:ascii="方正仿宋_GBK" w:eastAsia="方正仿宋_GBK"/>
          <w:sz w:val="32"/>
          <w:szCs w:val="32"/>
          <w:u w:val="none"/>
        </w:rPr>
        <w:t>十、创业板允许上市公司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14:paraId="44293BD4">
      <w:pPr>
        <w:spacing w:line="560" w:lineRule="exact"/>
        <w:ind w:firstLine="640" w:firstLineChars="200"/>
        <w:rPr>
          <w:rFonts w:eastAsia="方正仿宋_GBK"/>
          <w:sz w:val="32"/>
          <w:szCs w:val="32"/>
        </w:rPr>
      </w:pPr>
      <w:r>
        <w:rPr>
          <w:rFonts w:hint="eastAsia" w:ascii="方正仿宋_GBK" w:eastAsia="方正仿宋_GBK"/>
          <w:sz w:val="32"/>
          <w:szCs w:val="32"/>
        </w:rPr>
        <w:t>十一、出现《深圳证券交易所创业板股票上市规则》以及上市公司章程规定的情形时，特别表决权股份将按 1:1 的比例转换为普通股份。股份转换自相关情形发生时即生效，并可能与相关股份转换登记时点存在差异。</w:t>
      </w:r>
      <w:r>
        <w:rPr>
          <w:rFonts w:hint="eastAsia" w:ascii="方正仿宋_GBK" w:eastAsia="方正仿宋_GBK"/>
          <w:sz w:val="32"/>
          <w:szCs w:val="32"/>
          <w:lang w:val="en-US" w:eastAsia="zh-CN"/>
        </w:rPr>
        <w:t>投资者</w:t>
      </w:r>
      <w:r>
        <w:rPr>
          <w:rFonts w:hint="eastAsia" w:ascii="方正仿宋_GBK" w:eastAsia="方正仿宋_GBK"/>
          <w:sz w:val="32"/>
          <w:szCs w:val="32"/>
        </w:rPr>
        <w:t>需及时关注上市公司相关公告，了解特别表决权股份变动事宜。</w:t>
      </w:r>
    </w:p>
    <w:p w14:paraId="480C5138">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十二、创业板上市公司的股权激励制度更为灵活，包括股权激励计划所涉及的股票比例上限和对象有所扩大、价格条款更为灵活、实施方式更为便利。实施该等股权激励制度安排可能导致公司实际上市交易的股票数量超过首次公开发行时的数量。</w:t>
      </w:r>
    </w:p>
    <w:p w14:paraId="5D430883">
      <w:pPr>
        <w:spacing w:line="560" w:lineRule="exact"/>
        <w:ind w:firstLine="640" w:firstLineChars="200"/>
        <w:rPr>
          <w:rFonts w:hint="eastAsia" w:eastAsia="方正仿宋_GBK"/>
          <w:sz w:val="32"/>
          <w:szCs w:val="32"/>
          <w:u w:val="none"/>
        </w:rPr>
      </w:pPr>
      <w:r>
        <w:rPr>
          <w:rFonts w:hint="eastAsia" w:eastAsia="方正仿宋_GBK"/>
          <w:sz w:val="32"/>
          <w:szCs w:val="32"/>
          <w:u w:val="none"/>
        </w:rPr>
        <w:t>十三、创业板股票的价格涨跌幅限制比例为20%</w:t>
      </w:r>
      <w:r>
        <w:rPr>
          <w:rFonts w:hint="eastAsia" w:eastAsia="方正仿宋_GBK"/>
          <w:sz w:val="32"/>
          <w:szCs w:val="32"/>
          <w:u w:val="none"/>
          <w:lang w:eastAsia="zh-CN"/>
        </w:rPr>
        <w:t>，</w:t>
      </w:r>
      <w:r>
        <w:rPr>
          <w:rFonts w:hint="eastAsia" w:eastAsia="方正仿宋_GBK"/>
          <w:sz w:val="32"/>
          <w:szCs w:val="32"/>
          <w:u w:val="none"/>
        </w:rPr>
        <w:t>但在首次公开发行上市后的前五个交易日、重新上市首日、进入退市整理期的首日以及深交所认定的其他情形下不实行涨跌幅限制。</w:t>
      </w:r>
      <w:r>
        <w:rPr>
          <w:rFonts w:hint="eastAsia" w:eastAsia="方正仿宋_GBK"/>
          <w:sz w:val="32"/>
          <w:szCs w:val="32"/>
          <w:u w:val="none"/>
          <w:lang w:val="en-US" w:eastAsia="zh-CN"/>
        </w:rPr>
        <w:t>投资者</w:t>
      </w:r>
      <w:r>
        <w:rPr>
          <w:rFonts w:hint="eastAsia" w:eastAsia="方正仿宋_GBK"/>
          <w:sz w:val="32"/>
          <w:szCs w:val="32"/>
          <w:u w:val="none"/>
        </w:rPr>
        <w:t>应当关注可能发生的股价波动风险。</w:t>
      </w:r>
    </w:p>
    <w:p w14:paraId="78C41FBA">
      <w:pPr>
        <w:spacing w:line="560" w:lineRule="exact"/>
        <w:ind w:firstLine="640" w:firstLineChars="200"/>
        <w:rPr>
          <w:rFonts w:hint="eastAsia" w:ascii="方正仿宋_GBK" w:eastAsia="方正仿宋_GBK"/>
          <w:sz w:val="32"/>
          <w:szCs w:val="32"/>
          <w:u w:val="none"/>
        </w:rPr>
      </w:pPr>
      <w:r>
        <w:rPr>
          <w:rFonts w:hint="eastAsia" w:ascii="方正仿宋_GBK" w:eastAsia="方正仿宋_GBK"/>
          <w:sz w:val="32"/>
          <w:szCs w:val="32"/>
          <w:u w:val="none"/>
        </w:rPr>
        <w:t>十四、创业板无价格涨跌幅限制股票竞价交易盘中价格较当日开盘价格首次上涨或者下跌达到或者超过30%60%，以及出现证监会或者深交所认定的其他情形的，实施盘中临时停牌机制，单次临时停牌时间为10分钟，停牌时间跨越14:57的，于当日14:57复牌并对已接受的申报进行复牌集合竞价，再进行收盘集合竞价。</w:t>
      </w:r>
    </w:p>
    <w:p w14:paraId="43B62771">
      <w:pPr>
        <w:spacing w:line="560" w:lineRule="exact"/>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u w:val="none"/>
        </w:rPr>
        <w:t>十五、</w:t>
      </w:r>
      <w:r>
        <w:rPr>
          <w:rFonts w:hint="eastAsia" w:ascii="方正仿宋_GBK" w:eastAsia="方正仿宋_GBK"/>
          <w:sz w:val="32"/>
          <w:szCs w:val="32"/>
          <w:u w:val="single"/>
        </w:rPr>
        <w:t>《深圳证券交易所交易规则（2026年修订）》施行后，创业板股票交易可以实行做市商机制</w:t>
      </w:r>
      <w:r>
        <w:rPr>
          <w:rFonts w:hint="eastAsia" w:ascii="方正仿宋_GBK" w:eastAsia="方正仿宋_GBK"/>
          <w:sz w:val="32"/>
          <w:szCs w:val="32"/>
          <w:u w:val="single"/>
          <w:lang w:val="en-US" w:eastAsia="zh-CN"/>
        </w:rPr>
        <w:t>。</w:t>
      </w:r>
    </w:p>
    <w:p w14:paraId="08E35623">
      <w:pPr>
        <w:spacing w:line="560" w:lineRule="exact"/>
        <w:ind w:firstLine="640" w:firstLineChars="200"/>
        <w:rPr>
          <w:rFonts w:eastAsia="方正仿宋_GBK"/>
          <w:sz w:val="32"/>
          <w:szCs w:val="32"/>
        </w:rPr>
      </w:pPr>
      <w:r>
        <w:rPr>
          <w:rFonts w:hint="eastAsia" w:ascii="方正仿宋_GBK" w:eastAsia="方正仿宋_GBK"/>
          <w:sz w:val="32"/>
          <w:szCs w:val="32"/>
          <w:u w:val="none"/>
        </w:rPr>
        <w:t>十六、</w:t>
      </w:r>
      <w:r>
        <w:rPr>
          <w:rFonts w:hint="eastAsia" w:ascii="方正仿宋_GBK" w:eastAsia="方正仿宋_GBK"/>
          <w:sz w:val="32"/>
          <w:szCs w:val="32"/>
          <w:u w:val="none"/>
          <w:lang w:val="en-US" w:eastAsia="zh-CN"/>
        </w:rPr>
        <w:t>投资者</w:t>
      </w:r>
      <w:r>
        <w:rPr>
          <w:rFonts w:hint="eastAsia" w:ascii="方正仿宋_GBK" w:eastAsia="方正仿宋_GBK"/>
          <w:sz w:val="32"/>
          <w:szCs w:val="32"/>
          <w:u w:val="none"/>
        </w:rPr>
        <w:t>应当关注不同板块单笔申报数量上限差异，同时应当关注股票集合竞价阶段及连续竞价阶段有效申报价格范围的相关要求，以免影响申报。申报时超过涨跌幅限制价格或者有效申报价格范围的申报为无效申报。</w:t>
      </w:r>
    </w:p>
    <w:p w14:paraId="5838E34C">
      <w:pPr>
        <w:spacing w:line="56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rPr>
        <w:t>十七、投资者需关注创业板交易方式包括竞价交易、盘后固定价格交易以及大宗交易，不同交易方式的交易时间、申报要求、成交原则等存在差异。</w:t>
      </w:r>
      <w:r>
        <w:rPr>
          <w:rFonts w:hint="eastAsia" w:ascii="方正仿宋_GBK" w:eastAsia="方正仿宋_GBK"/>
          <w:sz w:val="32"/>
          <w:szCs w:val="32"/>
          <w:u w:val="single"/>
        </w:rPr>
        <w:t>《深圳证券交易所交易规则（2026年修订）》施行后，创业板股票协议大宗交易的成交确认时间与深交所主板股票存在差异，投资者应当关注</w:t>
      </w:r>
      <w:r>
        <w:rPr>
          <w:rFonts w:hint="eastAsia" w:ascii="方正仿宋_GBK" w:eastAsia="方正仿宋_GBK"/>
          <w:sz w:val="32"/>
          <w:szCs w:val="32"/>
          <w:u w:val="single"/>
          <w:lang w:eastAsia="zh-CN"/>
        </w:rPr>
        <w:t>。</w:t>
      </w:r>
    </w:p>
    <w:p w14:paraId="04B268EF">
      <w:pPr>
        <w:spacing w:line="560" w:lineRule="exact"/>
        <w:ind w:firstLine="640" w:firstLineChars="200"/>
        <w:rPr>
          <w:rFonts w:eastAsia="方正仿宋_GBK"/>
          <w:sz w:val="32"/>
          <w:szCs w:val="32"/>
        </w:rPr>
      </w:pPr>
      <w:r>
        <w:rPr>
          <w:rFonts w:hint="eastAsia" w:ascii="方正仿宋_GBK" w:eastAsia="方正仿宋_GBK"/>
          <w:sz w:val="32"/>
          <w:szCs w:val="32"/>
        </w:rPr>
        <w:t>十八、注册制下首次公开发行的股票，上市首日即可作为融资融券标的</w:t>
      </w:r>
      <w:r>
        <w:rPr>
          <w:rFonts w:hint="eastAsia" w:ascii="方正仿宋_GBK" w:eastAsia="方正仿宋_GBK"/>
          <w:sz w:val="32"/>
          <w:szCs w:val="32"/>
          <w:lang w:eastAsia="zh-CN"/>
        </w:rPr>
        <w:t>，投资者应当关注相关风险</w:t>
      </w:r>
      <w:r>
        <w:rPr>
          <w:rFonts w:hint="eastAsia" w:ascii="方正仿宋_GBK" w:eastAsia="方正仿宋_GBK"/>
          <w:sz w:val="32"/>
          <w:szCs w:val="32"/>
        </w:rPr>
        <w:t>。</w:t>
      </w:r>
    </w:p>
    <w:p w14:paraId="1CB23211">
      <w:pPr>
        <w:pStyle w:val="21"/>
        <w:autoSpaceDE/>
        <w:autoSpaceDN/>
        <w:spacing w:line="560" w:lineRule="exact"/>
        <w:ind w:firstLine="640" w:firstLineChars="200"/>
        <w:jc w:val="both"/>
        <w:rPr>
          <w:rFonts w:hint="eastAsia" w:ascii="方正仿宋_GBK" w:eastAsia="方正仿宋_GBK"/>
          <w:sz w:val="32"/>
          <w:szCs w:val="32"/>
        </w:rPr>
      </w:pPr>
      <w:r>
        <w:rPr>
          <w:rFonts w:hint="eastAsia" w:ascii="方正仿宋_GBK" w:eastAsia="方正仿宋_GBK"/>
          <w:sz w:val="32"/>
          <w:szCs w:val="32"/>
        </w:rPr>
        <w:t>十九、创业板股票的交易公开信息披露指标及异常波动情形、严重异常波动情形披露指标与深交所主板股票规定不同</w:t>
      </w:r>
      <w:r>
        <w:rPr>
          <w:rFonts w:hint="eastAsia" w:ascii="方正仿宋_GBK" w:eastAsia="方正仿宋_GBK"/>
          <w:sz w:val="32"/>
          <w:szCs w:val="32"/>
          <w:lang w:eastAsia="zh-CN"/>
        </w:rPr>
        <w:t>，</w:t>
      </w:r>
      <w:r>
        <w:rPr>
          <w:rFonts w:hint="eastAsia" w:ascii="方正仿宋_GBK" w:eastAsia="方正仿宋_GBK"/>
          <w:sz w:val="32"/>
          <w:szCs w:val="32"/>
        </w:rPr>
        <w:t>投资者应当关注相关风险。</w:t>
      </w:r>
    </w:p>
    <w:p w14:paraId="69822BE8">
      <w:pPr>
        <w:pStyle w:val="21"/>
        <w:autoSpaceDE/>
        <w:autoSpaceDN/>
        <w:spacing w:line="560" w:lineRule="exact"/>
        <w:ind w:firstLine="640" w:firstLineChars="20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二十、</w:t>
      </w:r>
      <w:r>
        <w:rPr>
          <w:rFonts w:hint="eastAsia" w:ascii="方正仿宋_GBK" w:hAnsi="Times New Roman" w:eastAsia="方正仿宋_GBK" w:cs="Times New Roman"/>
          <w:kern w:val="2"/>
          <w:sz w:val="32"/>
          <w:szCs w:val="32"/>
          <w:u w:val="none"/>
        </w:rPr>
        <w:t>符合相关规定的红筹企业可以在创业板上市。</w:t>
      </w:r>
      <w:r>
        <w:rPr>
          <w:rFonts w:hint="eastAsia" w:ascii="方正仿宋_GBK" w:hAnsi="Times New Roman" w:eastAsia="方正仿宋_GBK" w:cs="Times New Roman"/>
          <w:kern w:val="2"/>
          <w:sz w:val="32"/>
          <w:szCs w:val="32"/>
        </w:rPr>
        <w:t>红筹企业在境外注册，可能采用协议控制架构，在上市标准、信息披露、分红派息、退市标准等方面可能与境内注册的上市公司存在差异。红筹企业注册地、境外上市地等地法律法规对当地投资者提供的保护，可能与境内法律为境内投资者提供的保护存在差异。</w:t>
      </w:r>
    </w:p>
    <w:p w14:paraId="409E9670">
      <w:pPr>
        <w:pStyle w:val="21"/>
        <w:autoSpaceDE/>
        <w:autoSpaceDN/>
        <w:spacing w:line="560" w:lineRule="exact"/>
        <w:ind w:firstLine="640" w:firstLineChars="200"/>
        <w:jc w:val="both"/>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二十一、红筹企业可以发行股票或者存托凭证并在创业板上市。存托凭证由存托人签发、以境外证券为基础在中国境内发行，代表境外基础证券权益。红筹企业存托凭证持有人实际享有的权益与境外基础证券持有人的权益虽然基本相当,但并不能等同于直接持有境外基础证券。</w:t>
      </w:r>
      <w:r>
        <w:rPr>
          <w:rFonts w:hint="eastAsia" w:ascii="方正仿宋_GBK" w:hAnsi="Times New Roman" w:eastAsia="方正仿宋_GBK" w:cs="Times New Roman"/>
          <w:kern w:val="2"/>
          <w:sz w:val="32"/>
          <w:szCs w:val="32"/>
          <w:lang w:val="en-US" w:eastAsia="zh-CN"/>
        </w:rPr>
        <w:t>投资者</w:t>
      </w:r>
      <w:r>
        <w:rPr>
          <w:rFonts w:hint="eastAsia" w:ascii="方正仿宋_GBK" w:hAnsi="Times New Roman" w:eastAsia="方正仿宋_GBK" w:cs="Times New Roman"/>
          <w:kern w:val="2"/>
          <w:sz w:val="32"/>
          <w:szCs w:val="32"/>
        </w:rPr>
        <w:t>应当充分知悉存托协议和相关规则的具体内容，了解并接受在交易和持有红筹企业股票或者存托凭证过程中可能存在的风险。</w:t>
      </w:r>
    </w:p>
    <w:p w14:paraId="7FC800CE">
      <w:pPr>
        <w:pStyle w:val="21"/>
        <w:autoSpaceDE/>
        <w:autoSpaceDN/>
        <w:spacing w:line="560" w:lineRule="exact"/>
        <w:ind w:firstLine="640" w:firstLineChars="200"/>
        <w:jc w:val="both"/>
        <w:rPr>
          <w:rFonts w:hint="eastAsia" w:ascii="方正仿宋_GBK" w:hAnsi="Times New Roman" w:eastAsia="方正仿宋_GBK" w:cs="Times New Roman"/>
          <w:kern w:val="2"/>
          <w:sz w:val="32"/>
          <w:szCs w:val="32"/>
          <w:lang w:eastAsia="zh-CN"/>
        </w:rPr>
      </w:pPr>
      <w:r>
        <w:rPr>
          <w:rFonts w:hint="eastAsia" w:ascii="方正仿宋_GBK" w:hAnsi="Times New Roman" w:eastAsia="方正仿宋_GBK" w:cs="Times New Roman"/>
          <w:kern w:val="2"/>
          <w:sz w:val="32"/>
          <w:szCs w:val="32"/>
        </w:rPr>
        <w:t>二十二、创业板适用的相关法律、行政法规、部门规章、规范性文件（以下统称法律法规）和深交所相关业务规则，可能根据市场情况进行修改，或者制定新的法律法规和业务规则</w:t>
      </w:r>
      <w:r>
        <w:rPr>
          <w:rFonts w:hint="eastAsia" w:ascii="方正仿宋_GBK" w:hAnsi="Times New Roman" w:eastAsia="方正仿宋_GBK" w:cs="Times New Roman"/>
          <w:kern w:val="2"/>
          <w:sz w:val="32"/>
          <w:szCs w:val="32"/>
          <w:lang w:eastAsia="zh-CN"/>
        </w:rPr>
        <w:t>，投资者应当及时关注和了解。</w:t>
      </w:r>
    </w:p>
    <w:p w14:paraId="5F40350D">
      <w:pPr>
        <w:pStyle w:val="21"/>
        <w:autoSpaceDE/>
        <w:autoSpaceDN/>
        <w:spacing w:line="560" w:lineRule="exact"/>
        <w:ind w:firstLine="643" w:firstLineChars="200"/>
        <w:jc w:val="both"/>
        <w:rPr>
          <w:rFonts w:hint="eastAsia" w:ascii="方正仿宋_GBK" w:eastAsia="方正仿宋_GBK"/>
          <w:b/>
          <w:bCs/>
          <w:sz w:val="32"/>
          <w:szCs w:val="32"/>
        </w:rPr>
      </w:pPr>
    </w:p>
    <w:p w14:paraId="414B6156">
      <w:pPr>
        <w:pStyle w:val="21"/>
        <w:autoSpaceDE/>
        <w:autoSpaceDN/>
        <w:spacing w:line="560" w:lineRule="exact"/>
        <w:ind w:firstLine="643" w:firstLineChars="200"/>
        <w:jc w:val="both"/>
        <w:rPr>
          <w:rFonts w:eastAsia="方正仿宋_GBK"/>
          <w:b/>
          <w:bCs/>
          <w:sz w:val="32"/>
          <w:szCs w:val="32"/>
        </w:rPr>
      </w:pPr>
      <w:r>
        <w:rPr>
          <w:rFonts w:hint="eastAsia" w:ascii="方正仿宋_GBK" w:eastAsia="方正仿宋_GBK"/>
          <w:b/>
          <w:bCs/>
          <w:sz w:val="32"/>
          <w:szCs w:val="32"/>
        </w:rPr>
        <w:t>本《风险揭示书》的揭示事项仅为列举性质，未能详尽列明创业板交易业务的所有风险，且未来有关法律法规和业务规则修订时可能不会要求您重新签署《风险揭示书》。您在参与交易前，应当认真阅读有关法律法规和交易所业务规则等相关规定，对其他可能存在的风险因素也应当有所了解和掌握，并确信自己已做好足够的风险评估与财务安排，避免因参与创业板交易业务遭受难以承受的风险和损失。</w:t>
      </w:r>
    </w:p>
    <w:p w14:paraId="2370B4E0">
      <w:pPr>
        <w:pStyle w:val="21"/>
        <w:autoSpaceDE/>
        <w:autoSpaceDN/>
        <w:spacing w:line="560" w:lineRule="exact"/>
        <w:ind w:firstLine="643" w:firstLineChars="200"/>
        <w:jc w:val="both"/>
        <w:rPr>
          <w:rFonts w:hint="eastAsia" w:ascii="Times New Roman" w:hAnsi="Times New Roman" w:eastAsia="方正仿宋_GBK" w:cs="Times New Roman"/>
          <w:b/>
          <w:bCs/>
          <w:kern w:val="2"/>
          <w:sz w:val="32"/>
          <w:szCs w:val="32"/>
        </w:rPr>
      </w:pPr>
      <w:r>
        <w:rPr>
          <w:rFonts w:hint="eastAsia" w:ascii="方正仿宋_GBK" w:hAnsi="Times New Roman" w:eastAsia="方正仿宋_GBK" w:cs="Times New Roman"/>
          <w:b/>
          <w:bCs/>
          <w:kern w:val="2"/>
          <w:sz w:val="32"/>
          <w:szCs w:val="32"/>
        </w:rPr>
        <w:t>您应提高对非法证券活动的识别判断能力，务必注意风险，在遇到类似非法证券活动时，应及时向中国证监会驻当地的派出机构进行咨询或举报，自觉做到知法、懂法、守法，不被虚假宣传所迷惑，不参与非法证券活动，避免上当受骗，保护自身合法权益不受侵害。</w:t>
      </w:r>
    </w:p>
    <w:p w14:paraId="1F1B484F">
      <w:pPr>
        <w:spacing w:line="560" w:lineRule="exact"/>
        <w:ind w:firstLine="643" w:firstLineChars="200"/>
        <w:rPr>
          <w:rFonts w:eastAsia="方正仿宋_GBK"/>
          <w:b/>
          <w:bCs/>
          <w:sz w:val="32"/>
          <w:szCs w:val="32"/>
        </w:rPr>
      </w:pPr>
    </w:p>
    <w:p w14:paraId="5F7B728D">
      <w:pPr>
        <w:spacing w:line="560" w:lineRule="exact"/>
        <w:ind w:firstLine="643" w:firstLineChars="200"/>
        <w:rPr>
          <w:rFonts w:eastAsia="方正仿宋_GBK"/>
          <w:sz w:val="32"/>
          <w:szCs w:val="32"/>
        </w:rPr>
      </w:pPr>
      <w:r>
        <w:rPr>
          <w:rFonts w:hint="eastAsia" w:ascii="方正仿宋_GBK" w:eastAsia="方正仿宋_GBK"/>
          <w:b/>
          <w:bCs/>
          <w:sz w:val="32"/>
          <w:szCs w:val="32"/>
        </w:rPr>
        <w:t>本人</w:t>
      </w:r>
      <w:r>
        <w:rPr>
          <w:rFonts w:eastAsia="方正仿宋_GBK"/>
          <w:b/>
          <w:bCs/>
          <w:sz w:val="32"/>
          <w:szCs w:val="32"/>
        </w:rPr>
        <w:t>/</w:t>
      </w:r>
      <w:r>
        <w:rPr>
          <w:rFonts w:hint="eastAsia" w:ascii="方正仿宋_GBK" w:eastAsia="方正仿宋_GBK"/>
          <w:b/>
          <w:bCs/>
          <w:sz w:val="32"/>
          <w:szCs w:val="32"/>
        </w:rPr>
        <w:t>机构在本《风险揭示书》上签字，即表明本人</w:t>
      </w:r>
      <w:r>
        <w:rPr>
          <w:rFonts w:eastAsia="方正仿宋_GBK"/>
          <w:b/>
          <w:bCs/>
          <w:sz w:val="32"/>
          <w:szCs w:val="32"/>
        </w:rPr>
        <w:t>/</w:t>
      </w:r>
      <w:r>
        <w:rPr>
          <w:rFonts w:hint="eastAsia" w:ascii="方正仿宋_GBK" w:eastAsia="方正仿宋_GBK"/>
          <w:b/>
          <w:bCs/>
          <w:sz w:val="32"/>
          <w:szCs w:val="32"/>
        </w:rPr>
        <w:t>机构已经理解并愿意自行承担参与创业板交易业务的风险和损失。</w:t>
      </w:r>
    </w:p>
    <w:p w14:paraId="79621C49">
      <w:pPr>
        <w:adjustRightInd w:val="0"/>
        <w:snapToGrid w:val="0"/>
        <w:spacing w:line="560" w:lineRule="exact"/>
        <w:jc w:val="left"/>
        <w:rPr>
          <w:rFonts w:eastAsia="方正仿宋_GBK"/>
          <w:kern w:val="0"/>
          <w:sz w:val="32"/>
          <w:szCs w:val="32"/>
        </w:rPr>
      </w:pPr>
    </w:p>
    <w:p w14:paraId="594F89E9">
      <w:pPr>
        <w:adjustRightInd w:val="0"/>
        <w:snapToGrid w:val="0"/>
        <w:spacing w:line="560" w:lineRule="exact"/>
        <w:jc w:val="left"/>
        <w:rPr>
          <w:rFonts w:eastAsia="方正仿宋_GBK"/>
          <w:kern w:val="0"/>
          <w:sz w:val="32"/>
          <w:szCs w:val="32"/>
        </w:rPr>
      </w:pPr>
    </w:p>
    <w:p w14:paraId="49449E07">
      <w:pPr>
        <w:adjustRightInd w:val="0"/>
        <w:snapToGrid w:val="0"/>
        <w:spacing w:line="560" w:lineRule="exact"/>
        <w:jc w:val="left"/>
        <w:rPr>
          <w:rFonts w:hint="eastAsia" w:eastAsia="方正仿宋_GBK"/>
          <w:kern w:val="0"/>
          <w:sz w:val="32"/>
          <w:szCs w:val="32"/>
        </w:rPr>
      </w:pPr>
    </w:p>
    <w:p w14:paraId="0056E269">
      <w:pPr>
        <w:wordWrap w:val="0"/>
        <w:spacing w:line="560" w:lineRule="exact"/>
        <w:ind w:firstLine="640" w:firstLineChars="200"/>
        <w:jc w:val="right"/>
        <w:rPr>
          <w:rFonts w:ascii="方正仿宋_GBK" w:eastAsia="方正仿宋_GBK"/>
          <w:sz w:val="32"/>
          <w:szCs w:val="32"/>
        </w:rPr>
      </w:pPr>
      <w:r>
        <w:rPr>
          <w:rFonts w:hint="eastAsia" w:ascii="方正仿宋_GBK" w:eastAsia="方正仿宋_GBK"/>
          <w:sz w:val="32"/>
          <w:szCs w:val="32"/>
        </w:rPr>
        <w:t xml:space="preserve">投资者： </w:t>
      </w:r>
      <w:r>
        <w:rPr>
          <w:rFonts w:ascii="方正仿宋_GBK" w:eastAsia="方正仿宋_GBK"/>
          <w:sz w:val="32"/>
          <w:szCs w:val="32"/>
        </w:rPr>
        <w:t xml:space="preserve">                  </w:t>
      </w:r>
    </w:p>
    <w:p w14:paraId="3972BB2C">
      <w:pPr>
        <w:spacing w:line="560" w:lineRule="exact"/>
        <w:ind w:firstLine="640" w:firstLineChars="200"/>
        <w:jc w:val="right"/>
        <w:rPr>
          <w:rFonts w:hint="eastAsia" w:eastAsia="方正仿宋_GBK"/>
          <w:sz w:val="32"/>
          <w:szCs w:val="32"/>
        </w:rPr>
      </w:pPr>
    </w:p>
    <w:p w14:paraId="08665255">
      <w:pPr>
        <w:spacing w:line="560" w:lineRule="exact"/>
        <w:ind w:firstLine="640" w:firstLineChars="200"/>
        <w:jc w:val="right"/>
        <w:rPr>
          <w:rFonts w:ascii="方正仿宋_GBK" w:eastAsia="方正仿宋_GBK"/>
          <w:sz w:val="32"/>
          <w:szCs w:val="32"/>
        </w:rPr>
      </w:pPr>
      <w:r>
        <w:rPr>
          <w:rFonts w:hint="eastAsia" w:ascii="方正仿宋_GBK" w:eastAsia="方正仿宋_GBK"/>
          <w:sz w:val="32"/>
          <w:szCs w:val="32"/>
        </w:rPr>
        <w:t>（自然人投资者签字</w:t>
      </w:r>
      <w:r>
        <w:rPr>
          <w:rFonts w:eastAsia="方正仿宋_GBK"/>
          <w:sz w:val="32"/>
          <w:szCs w:val="32"/>
        </w:rPr>
        <w:t>/</w:t>
      </w:r>
      <w:r>
        <w:rPr>
          <w:rFonts w:hint="eastAsia" w:ascii="方正仿宋_GBK" w:eastAsia="方正仿宋_GBK"/>
          <w:sz w:val="32"/>
          <w:szCs w:val="32"/>
        </w:rPr>
        <w:t>非自然人投资者盖章）</w:t>
      </w:r>
    </w:p>
    <w:p w14:paraId="515A4B97">
      <w:pPr>
        <w:spacing w:line="560" w:lineRule="exact"/>
        <w:ind w:firstLine="640" w:firstLineChars="200"/>
        <w:jc w:val="right"/>
        <w:rPr>
          <w:rFonts w:hint="eastAsia" w:eastAsia="方正仿宋_GBK"/>
          <w:sz w:val="32"/>
          <w:szCs w:val="32"/>
        </w:rPr>
      </w:pPr>
    </w:p>
    <w:p w14:paraId="2A5EF945">
      <w:pPr>
        <w:spacing w:line="560" w:lineRule="exact"/>
        <w:ind w:right="840" w:rightChars="400" w:firstLine="640" w:firstLineChars="200"/>
        <w:jc w:val="right"/>
        <w:rPr>
          <w:rFonts w:eastAsia="方正仿宋_GBK"/>
          <w:sz w:val="32"/>
          <w:szCs w:val="32"/>
        </w:rPr>
      </w:pPr>
      <w:r>
        <w:rPr>
          <w:rFonts w:hint="eastAsia" w:ascii="方正仿宋_GBK" w:eastAsia="方正仿宋_GBK"/>
          <w:sz w:val="32"/>
          <w:szCs w:val="32"/>
        </w:rPr>
        <w:t>签署日期：</w:t>
      </w:r>
      <w:r>
        <w:rPr>
          <w:rFonts w:eastAsia="方正仿宋_GBK"/>
          <w:sz w:val="32"/>
          <w:szCs w:val="32"/>
        </w:rPr>
        <w:t xml:space="preserve">    </w:t>
      </w:r>
      <w:r>
        <w:rPr>
          <w:rFonts w:hint="eastAsia" w:ascii="方正仿宋_GBK" w:eastAsia="方正仿宋_GBK"/>
          <w:sz w:val="32"/>
          <w:szCs w:val="32"/>
        </w:rPr>
        <w:t>年</w:t>
      </w:r>
      <w:r>
        <w:rPr>
          <w:rFonts w:eastAsia="方正仿宋_GBK"/>
          <w:sz w:val="32"/>
          <w:szCs w:val="32"/>
        </w:rPr>
        <w:t xml:space="preserve">  </w:t>
      </w:r>
      <w:r>
        <w:rPr>
          <w:rFonts w:hint="eastAsia" w:ascii="方正仿宋_GBK" w:eastAsia="方正仿宋_GBK"/>
          <w:sz w:val="32"/>
          <w:szCs w:val="32"/>
        </w:rPr>
        <w:t xml:space="preserve">月 </w:t>
      </w:r>
      <w:r>
        <w:rPr>
          <w:rFonts w:eastAsia="方正仿宋_GBK"/>
          <w:sz w:val="32"/>
          <w:szCs w:val="32"/>
        </w:rPr>
        <w:t xml:space="preserve"> </w:t>
      </w:r>
      <w:r>
        <w:rPr>
          <w:rFonts w:hint="eastAsia" w:ascii="方正仿宋_GBK" w:eastAsia="方正仿宋_GBK"/>
          <w:sz w:val="32"/>
          <w:szCs w:val="32"/>
        </w:rPr>
        <w:t>日</w:t>
      </w:r>
    </w:p>
    <w:p w14:paraId="3118DACE"/>
    <w:p w14:paraId="7DA21D30">
      <w:pPr>
        <w:jc w:val="left"/>
        <w:rPr>
          <w:rFonts w:eastAsia="方正仿宋_GBK"/>
          <w:sz w:val="28"/>
          <w:szCs w:val="28"/>
        </w:rPr>
      </w:pPr>
    </w:p>
    <w:sectPr>
      <w:footerReference r:id="rId4" w:type="default"/>
      <w:headerReference r:id="rId3" w:type="even"/>
      <w:pgSz w:w="11906" w:h="16838"/>
      <w:pgMar w:top="2098" w:right="1588" w:bottom="2098"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9438">
    <w:pPr>
      <w:pStyle w:val="6"/>
      <w:jc w:val="center"/>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213189062"/>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66C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doNotUseMarginsForDrawingGridOrigin w:val="1"/>
  <w:drawingGridHorizontalOrigin w:val="1588"/>
  <w:drawingGridVerticalOrigin w:val="209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VhMzcyNTk0NGQ5OGZkNGM4Yzc1ODBmOTMzNGZjYjgifQ=="/>
  </w:docVars>
  <w:rsids>
    <w:rsidRoot w:val="00B72FBE"/>
    <w:rsid w:val="00006CAE"/>
    <w:rsid w:val="000133DB"/>
    <w:rsid w:val="00013E10"/>
    <w:rsid w:val="00015590"/>
    <w:rsid w:val="00016767"/>
    <w:rsid w:val="00024818"/>
    <w:rsid w:val="00026FE9"/>
    <w:rsid w:val="00027241"/>
    <w:rsid w:val="000304EB"/>
    <w:rsid w:val="00030E1D"/>
    <w:rsid w:val="00032E4B"/>
    <w:rsid w:val="0003318A"/>
    <w:rsid w:val="000401FF"/>
    <w:rsid w:val="00046900"/>
    <w:rsid w:val="00053702"/>
    <w:rsid w:val="00053777"/>
    <w:rsid w:val="000556FB"/>
    <w:rsid w:val="00056431"/>
    <w:rsid w:val="00057EC9"/>
    <w:rsid w:val="0007091B"/>
    <w:rsid w:val="000754D8"/>
    <w:rsid w:val="00076ED2"/>
    <w:rsid w:val="00076FD9"/>
    <w:rsid w:val="000770AE"/>
    <w:rsid w:val="000800F4"/>
    <w:rsid w:val="00080585"/>
    <w:rsid w:val="0008221D"/>
    <w:rsid w:val="00084BF9"/>
    <w:rsid w:val="000902E3"/>
    <w:rsid w:val="000A01E8"/>
    <w:rsid w:val="000A0667"/>
    <w:rsid w:val="000A4937"/>
    <w:rsid w:val="000A5470"/>
    <w:rsid w:val="000A54A9"/>
    <w:rsid w:val="000A57C0"/>
    <w:rsid w:val="000A606F"/>
    <w:rsid w:val="000B2A2C"/>
    <w:rsid w:val="000B5913"/>
    <w:rsid w:val="000C139E"/>
    <w:rsid w:val="000C1E56"/>
    <w:rsid w:val="000C75AD"/>
    <w:rsid w:val="000D015D"/>
    <w:rsid w:val="000D25B4"/>
    <w:rsid w:val="000D7603"/>
    <w:rsid w:val="000E0CB6"/>
    <w:rsid w:val="000E3A57"/>
    <w:rsid w:val="000E6FE5"/>
    <w:rsid w:val="000F1C96"/>
    <w:rsid w:val="000F2BD5"/>
    <w:rsid w:val="00102677"/>
    <w:rsid w:val="00104B87"/>
    <w:rsid w:val="00113B37"/>
    <w:rsid w:val="001147DB"/>
    <w:rsid w:val="001159F1"/>
    <w:rsid w:val="001237EB"/>
    <w:rsid w:val="00125275"/>
    <w:rsid w:val="00126CEA"/>
    <w:rsid w:val="0013493B"/>
    <w:rsid w:val="00140139"/>
    <w:rsid w:val="001430D5"/>
    <w:rsid w:val="0014561C"/>
    <w:rsid w:val="001465D0"/>
    <w:rsid w:val="00153827"/>
    <w:rsid w:val="001613C3"/>
    <w:rsid w:val="00164D5D"/>
    <w:rsid w:val="0017046C"/>
    <w:rsid w:val="001744A1"/>
    <w:rsid w:val="00175C02"/>
    <w:rsid w:val="0017641D"/>
    <w:rsid w:val="001769CC"/>
    <w:rsid w:val="00180243"/>
    <w:rsid w:val="0018061A"/>
    <w:rsid w:val="00184D70"/>
    <w:rsid w:val="00184EFC"/>
    <w:rsid w:val="00187E8B"/>
    <w:rsid w:val="001902A6"/>
    <w:rsid w:val="00190794"/>
    <w:rsid w:val="001915C0"/>
    <w:rsid w:val="00196036"/>
    <w:rsid w:val="001A44DE"/>
    <w:rsid w:val="001A6BED"/>
    <w:rsid w:val="001B3906"/>
    <w:rsid w:val="001B578B"/>
    <w:rsid w:val="001C0617"/>
    <w:rsid w:val="001C6950"/>
    <w:rsid w:val="001D1730"/>
    <w:rsid w:val="001D28FC"/>
    <w:rsid w:val="001D7027"/>
    <w:rsid w:val="001E210A"/>
    <w:rsid w:val="001F024E"/>
    <w:rsid w:val="001F45BB"/>
    <w:rsid w:val="001F4B25"/>
    <w:rsid w:val="001F6F96"/>
    <w:rsid w:val="00206A71"/>
    <w:rsid w:val="00207F89"/>
    <w:rsid w:val="002245C9"/>
    <w:rsid w:val="00224AF2"/>
    <w:rsid w:val="00225648"/>
    <w:rsid w:val="00225807"/>
    <w:rsid w:val="00226EE3"/>
    <w:rsid w:val="00231230"/>
    <w:rsid w:val="00234633"/>
    <w:rsid w:val="00236240"/>
    <w:rsid w:val="00242061"/>
    <w:rsid w:val="002476F8"/>
    <w:rsid w:val="0025096F"/>
    <w:rsid w:val="0025150B"/>
    <w:rsid w:val="00255579"/>
    <w:rsid w:val="00272AE7"/>
    <w:rsid w:val="00272E95"/>
    <w:rsid w:val="00273315"/>
    <w:rsid w:val="00281FF2"/>
    <w:rsid w:val="00282255"/>
    <w:rsid w:val="00292F6C"/>
    <w:rsid w:val="002A1C7F"/>
    <w:rsid w:val="002A54B2"/>
    <w:rsid w:val="002B106A"/>
    <w:rsid w:val="002B1AA4"/>
    <w:rsid w:val="002B1AF2"/>
    <w:rsid w:val="002C21CA"/>
    <w:rsid w:val="002C3618"/>
    <w:rsid w:val="002C52A1"/>
    <w:rsid w:val="002C5AA5"/>
    <w:rsid w:val="002D0BB5"/>
    <w:rsid w:val="002E4F57"/>
    <w:rsid w:val="002E5604"/>
    <w:rsid w:val="002E60E8"/>
    <w:rsid w:val="002E6B57"/>
    <w:rsid w:val="002E74A7"/>
    <w:rsid w:val="002F1AD1"/>
    <w:rsid w:val="002F7236"/>
    <w:rsid w:val="003015FE"/>
    <w:rsid w:val="00305452"/>
    <w:rsid w:val="00310294"/>
    <w:rsid w:val="00313B0D"/>
    <w:rsid w:val="003178C7"/>
    <w:rsid w:val="00320EA0"/>
    <w:rsid w:val="003246A8"/>
    <w:rsid w:val="0032537B"/>
    <w:rsid w:val="003337D5"/>
    <w:rsid w:val="003353F4"/>
    <w:rsid w:val="00335858"/>
    <w:rsid w:val="00335E62"/>
    <w:rsid w:val="00336C60"/>
    <w:rsid w:val="003431EE"/>
    <w:rsid w:val="0034783F"/>
    <w:rsid w:val="00350068"/>
    <w:rsid w:val="00354079"/>
    <w:rsid w:val="00370570"/>
    <w:rsid w:val="0037275E"/>
    <w:rsid w:val="00373024"/>
    <w:rsid w:val="00385053"/>
    <w:rsid w:val="00386393"/>
    <w:rsid w:val="003864A6"/>
    <w:rsid w:val="00387915"/>
    <w:rsid w:val="00393667"/>
    <w:rsid w:val="003A0D9B"/>
    <w:rsid w:val="003A62EA"/>
    <w:rsid w:val="003A6F36"/>
    <w:rsid w:val="003A733D"/>
    <w:rsid w:val="003C0603"/>
    <w:rsid w:val="003C27EB"/>
    <w:rsid w:val="003D10FE"/>
    <w:rsid w:val="003D117A"/>
    <w:rsid w:val="003E5898"/>
    <w:rsid w:val="003F24E1"/>
    <w:rsid w:val="003F6FE0"/>
    <w:rsid w:val="00405D5B"/>
    <w:rsid w:val="00407170"/>
    <w:rsid w:val="00417F1C"/>
    <w:rsid w:val="00422AF7"/>
    <w:rsid w:val="00424DBE"/>
    <w:rsid w:val="00427651"/>
    <w:rsid w:val="00441C83"/>
    <w:rsid w:val="0045375D"/>
    <w:rsid w:val="00457F41"/>
    <w:rsid w:val="0047192F"/>
    <w:rsid w:val="00472FEC"/>
    <w:rsid w:val="00475711"/>
    <w:rsid w:val="00480A2F"/>
    <w:rsid w:val="004816DE"/>
    <w:rsid w:val="00483108"/>
    <w:rsid w:val="00486F5F"/>
    <w:rsid w:val="00490733"/>
    <w:rsid w:val="00491046"/>
    <w:rsid w:val="00493A83"/>
    <w:rsid w:val="004956C3"/>
    <w:rsid w:val="00496348"/>
    <w:rsid w:val="004A1FC3"/>
    <w:rsid w:val="004A219E"/>
    <w:rsid w:val="004A5CCE"/>
    <w:rsid w:val="004B3E51"/>
    <w:rsid w:val="004C0DBC"/>
    <w:rsid w:val="004D1966"/>
    <w:rsid w:val="004D3DC2"/>
    <w:rsid w:val="004D3EE5"/>
    <w:rsid w:val="004D4E5E"/>
    <w:rsid w:val="004D5426"/>
    <w:rsid w:val="004D6C25"/>
    <w:rsid w:val="004E1AE3"/>
    <w:rsid w:val="004E2862"/>
    <w:rsid w:val="004F1664"/>
    <w:rsid w:val="004F1DC4"/>
    <w:rsid w:val="004F4A1B"/>
    <w:rsid w:val="004F7287"/>
    <w:rsid w:val="00500020"/>
    <w:rsid w:val="005032BE"/>
    <w:rsid w:val="00507118"/>
    <w:rsid w:val="0050780A"/>
    <w:rsid w:val="005146E8"/>
    <w:rsid w:val="005249B0"/>
    <w:rsid w:val="00525721"/>
    <w:rsid w:val="00527F12"/>
    <w:rsid w:val="0053408C"/>
    <w:rsid w:val="005458B0"/>
    <w:rsid w:val="005471E2"/>
    <w:rsid w:val="005511C1"/>
    <w:rsid w:val="00557C4F"/>
    <w:rsid w:val="005600B7"/>
    <w:rsid w:val="00561455"/>
    <w:rsid w:val="00565D10"/>
    <w:rsid w:val="00571C3D"/>
    <w:rsid w:val="00571F8B"/>
    <w:rsid w:val="00581A19"/>
    <w:rsid w:val="0059184D"/>
    <w:rsid w:val="005918AA"/>
    <w:rsid w:val="0059603E"/>
    <w:rsid w:val="00597AA0"/>
    <w:rsid w:val="00597F84"/>
    <w:rsid w:val="005A6FC1"/>
    <w:rsid w:val="005B16D0"/>
    <w:rsid w:val="005B450D"/>
    <w:rsid w:val="005C0740"/>
    <w:rsid w:val="005C4BC5"/>
    <w:rsid w:val="005C4C95"/>
    <w:rsid w:val="005C63BF"/>
    <w:rsid w:val="005D6AE1"/>
    <w:rsid w:val="005D7936"/>
    <w:rsid w:val="005E2479"/>
    <w:rsid w:val="005F0EF2"/>
    <w:rsid w:val="005F11E7"/>
    <w:rsid w:val="005F556C"/>
    <w:rsid w:val="005F6A27"/>
    <w:rsid w:val="005F7993"/>
    <w:rsid w:val="005F7C4C"/>
    <w:rsid w:val="00601D16"/>
    <w:rsid w:val="0060251C"/>
    <w:rsid w:val="00604282"/>
    <w:rsid w:val="00604EFF"/>
    <w:rsid w:val="00606661"/>
    <w:rsid w:val="00614C04"/>
    <w:rsid w:val="00615BDA"/>
    <w:rsid w:val="00615DA6"/>
    <w:rsid w:val="0062743A"/>
    <w:rsid w:val="00630E0A"/>
    <w:rsid w:val="006331DC"/>
    <w:rsid w:val="00637889"/>
    <w:rsid w:val="00642CD2"/>
    <w:rsid w:val="00644B85"/>
    <w:rsid w:val="0064780E"/>
    <w:rsid w:val="00650248"/>
    <w:rsid w:val="00651910"/>
    <w:rsid w:val="00653C0E"/>
    <w:rsid w:val="00655DB7"/>
    <w:rsid w:val="006607B7"/>
    <w:rsid w:val="00661E92"/>
    <w:rsid w:val="006633A2"/>
    <w:rsid w:val="00665B2A"/>
    <w:rsid w:val="00667858"/>
    <w:rsid w:val="00670565"/>
    <w:rsid w:val="0067387C"/>
    <w:rsid w:val="00674003"/>
    <w:rsid w:val="00680B19"/>
    <w:rsid w:val="0068180F"/>
    <w:rsid w:val="006962E0"/>
    <w:rsid w:val="00697AD4"/>
    <w:rsid w:val="006A5037"/>
    <w:rsid w:val="006A559B"/>
    <w:rsid w:val="006B0A76"/>
    <w:rsid w:val="006B3DF8"/>
    <w:rsid w:val="006C5CFA"/>
    <w:rsid w:val="006C6DB3"/>
    <w:rsid w:val="006D1D99"/>
    <w:rsid w:val="006D237F"/>
    <w:rsid w:val="006D2E4A"/>
    <w:rsid w:val="006D368C"/>
    <w:rsid w:val="006D7488"/>
    <w:rsid w:val="006D78D3"/>
    <w:rsid w:val="006E192B"/>
    <w:rsid w:val="006E20DD"/>
    <w:rsid w:val="006E255C"/>
    <w:rsid w:val="006E3ED1"/>
    <w:rsid w:val="006F196B"/>
    <w:rsid w:val="006F243F"/>
    <w:rsid w:val="006F3836"/>
    <w:rsid w:val="006F5588"/>
    <w:rsid w:val="00700D1B"/>
    <w:rsid w:val="0070177F"/>
    <w:rsid w:val="007019E6"/>
    <w:rsid w:val="00702FE3"/>
    <w:rsid w:val="00714548"/>
    <w:rsid w:val="00715B72"/>
    <w:rsid w:val="00716827"/>
    <w:rsid w:val="00721EB9"/>
    <w:rsid w:val="00722ED2"/>
    <w:rsid w:val="00723CEB"/>
    <w:rsid w:val="007250FA"/>
    <w:rsid w:val="00726E5C"/>
    <w:rsid w:val="00734EB1"/>
    <w:rsid w:val="007358B9"/>
    <w:rsid w:val="00736030"/>
    <w:rsid w:val="00736FB7"/>
    <w:rsid w:val="00741234"/>
    <w:rsid w:val="00744DB0"/>
    <w:rsid w:val="00745111"/>
    <w:rsid w:val="00751230"/>
    <w:rsid w:val="00751E2B"/>
    <w:rsid w:val="00752A96"/>
    <w:rsid w:val="007530AF"/>
    <w:rsid w:val="007541BE"/>
    <w:rsid w:val="00754969"/>
    <w:rsid w:val="00756B02"/>
    <w:rsid w:val="0075744D"/>
    <w:rsid w:val="00766794"/>
    <w:rsid w:val="00777E8C"/>
    <w:rsid w:val="007801F3"/>
    <w:rsid w:val="00782D8D"/>
    <w:rsid w:val="00784626"/>
    <w:rsid w:val="00784CD7"/>
    <w:rsid w:val="00791854"/>
    <w:rsid w:val="00792205"/>
    <w:rsid w:val="007922E5"/>
    <w:rsid w:val="00793FB8"/>
    <w:rsid w:val="007958F0"/>
    <w:rsid w:val="007A1912"/>
    <w:rsid w:val="007A3949"/>
    <w:rsid w:val="007A3B14"/>
    <w:rsid w:val="007A4DF8"/>
    <w:rsid w:val="007A6C4C"/>
    <w:rsid w:val="007A6FFC"/>
    <w:rsid w:val="007B1C20"/>
    <w:rsid w:val="007B63AC"/>
    <w:rsid w:val="007B6743"/>
    <w:rsid w:val="007B6AB1"/>
    <w:rsid w:val="007B7494"/>
    <w:rsid w:val="007C134D"/>
    <w:rsid w:val="007D02FC"/>
    <w:rsid w:val="007D3B94"/>
    <w:rsid w:val="007E0E1D"/>
    <w:rsid w:val="007E5286"/>
    <w:rsid w:val="007E7989"/>
    <w:rsid w:val="008015EA"/>
    <w:rsid w:val="00806D49"/>
    <w:rsid w:val="00807A8A"/>
    <w:rsid w:val="0081608B"/>
    <w:rsid w:val="0081640C"/>
    <w:rsid w:val="00820EB0"/>
    <w:rsid w:val="00821231"/>
    <w:rsid w:val="00830DCE"/>
    <w:rsid w:val="00842EB1"/>
    <w:rsid w:val="00843584"/>
    <w:rsid w:val="008615D0"/>
    <w:rsid w:val="0086590B"/>
    <w:rsid w:val="0086631B"/>
    <w:rsid w:val="00870214"/>
    <w:rsid w:val="00871C2E"/>
    <w:rsid w:val="0087551E"/>
    <w:rsid w:val="008773C2"/>
    <w:rsid w:val="008833E1"/>
    <w:rsid w:val="008901C8"/>
    <w:rsid w:val="00891FDA"/>
    <w:rsid w:val="00892CCE"/>
    <w:rsid w:val="008938F9"/>
    <w:rsid w:val="00894B19"/>
    <w:rsid w:val="00896867"/>
    <w:rsid w:val="00897F9E"/>
    <w:rsid w:val="008A48C4"/>
    <w:rsid w:val="008A5AFB"/>
    <w:rsid w:val="008B18D5"/>
    <w:rsid w:val="008B1E66"/>
    <w:rsid w:val="008C1AE6"/>
    <w:rsid w:val="008C2C9A"/>
    <w:rsid w:val="008C2DE4"/>
    <w:rsid w:val="008C5A5B"/>
    <w:rsid w:val="008C6091"/>
    <w:rsid w:val="008C7659"/>
    <w:rsid w:val="008D517A"/>
    <w:rsid w:val="008E302E"/>
    <w:rsid w:val="008E3FF9"/>
    <w:rsid w:val="008E5911"/>
    <w:rsid w:val="008F4FB5"/>
    <w:rsid w:val="008F7F7C"/>
    <w:rsid w:val="00905CAB"/>
    <w:rsid w:val="00906751"/>
    <w:rsid w:val="00910A68"/>
    <w:rsid w:val="00912D99"/>
    <w:rsid w:val="0091372F"/>
    <w:rsid w:val="009202EB"/>
    <w:rsid w:val="009258E6"/>
    <w:rsid w:val="00931701"/>
    <w:rsid w:val="00931BB9"/>
    <w:rsid w:val="009356DA"/>
    <w:rsid w:val="00944FC1"/>
    <w:rsid w:val="00962272"/>
    <w:rsid w:val="00962958"/>
    <w:rsid w:val="0096325E"/>
    <w:rsid w:val="00970A47"/>
    <w:rsid w:val="0097434D"/>
    <w:rsid w:val="009754BB"/>
    <w:rsid w:val="00980F3E"/>
    <w:rsid w:val="00994484"/>
    <w:rsid w:val="009A45D4"/>
    <w:rsid w:val="009A577B"/>
    <w:rsid w:val="009C1B71"/>
    <w:rsid w:val="009C5186"/>
    <w:rsid w:val="009C51B2"/>
    <w:rsid w:val="009C573C"/>
    <w:rsid w:val="009D0206"/>
    <w:rsid w:val="009D17FE"/>
    <w:rsid w:val="009D594C"/>
    <w:rsid w:val="009D629F"/>
    <w:rsid w:val="009D7182"/>
    <w:rsid w:val="009E0B56"/>
    <w:rsid w:val="009E2F05"/>
    <w:rsid w:val="009E7441"/>
    <w:rsid w:val="009F3780"/>
    <w:rsid w:val="00A003B6"/>
    <w:rsid w:val="00A0335D"/>
    <w:rsid w:val="00A04B22"/>
    <w:rsid w:val="00A05406"/>
    <w:rsid w:val="00A05730"/>
    <w:rsid w:val="00A11710"/>
    <w:rsid w:val="00A1236E"/>
    <w:rsid w:val="00A131FA"/>
    <w:rsid w:val="00A163DA"/>
    <w:rsid w:val="00A2014F"/>
    <w:rsid w:val="00A2089C"/>
    <w:rsid w:val="00A21287"/>
    <w:rsid w:val="00A2413E"/>
    <w:rsid w:val="00A24394"/>
    <w:rsid w:val="00A25CF0"/>
    <w:rsid w:val="00A3014A"/>
    <w:rsid w:val="00A30D4A"/>
    <w:rsid w:val="00A32198"/>
    <w:rsid w:val="00A32776"/>
    <w:rsid w:val="00A42591"/>
    <w:rsid w:val="00A561D4"/>
    <w:rsid w:val="00A61FEC"/>
    <w:rsid w:val="00A64392"/>
    <w:rsid w:val="00A74216"/>
    <w:rsid w:val="00A74D3D"/>
    <w:rsid w:val="00A75581"/>
    <w:rsid w:val="00A76992"/>
    <w:rsid w:val="00A76C89"/>
    <w:rsid w:val="00A76F1A"/>
    <w:rsid w:val="00A81634"/>
    <w:rsid w:val="00A863A6"/>
    <w:rsid w:val="00A94534"/>
    <w:rsid w:val="00A948DC"/>
    <w:rsid w:val="00A968D5"/>
    <w:rsid w:val="00A9693B"/>
    <w:rsid w:val="00A9698E"/>
    <w:rsid w:val="00AA2C2D"/>
    <w:rsid w:val="00AA2F8D"/>
    <w:rsid w:val="00AA72B0"/>
    <w:rsid w:val="00AB0CE0"/>
    <w:rsid w:val="00AB4CBE"/>
    <w:rsid w:val="00AB55E8"/>
    <w:rsid w:val="00AC1141"/>
    <w:rsid w:val="00AC374E"/>
    <w:rsid w:val="00AC46BE"/>
    <w:rsid w:val="00AD020D"/>
    <w:rsid w:val="00AD5357"/>
    <w:rsid w:val="00AD6007"/>
    <w:rsid w:val="00AE2370"/>
    <w:rsid w:val="00AE3985"/>
    <w:rsid w:val="00AE5BDE"/>
    <w:rsid w:val="00AF4544"/>
    <w:rsid w:val="00AF4ACB"/>
    <w:rsid w:val="00AF51A4"/>
    <w:rsid w:val="00B01B75"/>
    <w:rsid w:val="00B02AC3"/>
    <w:rsid w:val="00B02B8E"/>
    <w:rsid w:val="00B05000"/>
    <w:rsid w:val="00B078BA"/>
    <w:rsid w:val="00B110CB"/>
    <w:rsid w:val="00B12D64"/>
    <w:rsid w:val="00B1645E"/>
    <w:rsid w:val="00B16B93"/>
    <w:rsid w:val="00B208D7"/>
    <w:rsid w:val="00B218B3"/>
    <w:rsid w:val="00B23C3C"/>
    <w:rsid w:val="00B26212"/>
    <w:rsid w:val="00B26BFE"/>
    <w:rsid w:val="00B26F89"/>
    <w:rsid w:val="00B333CA"/>
    <w:rsid w:val="00B3399E"/>
    <w:rsid w:val="00B34818"/>
    <w:rsid w:val="00B416C0"/>
    <w:rsid w:val="00B41854"/>
    <w:rsid w:val="00B43020"/>
    <w:rsid w:val="00B44550"/>
    <w:rsid w:val="00B45D6F"/>
    <w:rsid w:val="00B51728"/>
    <w:rsid w:val="00B51B19"/>
    <w:rsid w:val="00B521C7"/>
    <w:rsid w:val="00B53132"/>
    <w:rsid w:val="00B646E3"/>
    <w:rsid w:val="00B70E7D"/>
    <w:rsid w:val="00B72FBE"/>
    <w:rsid w:val="00B77053"/>
    <w:rsid w:val="00B80E90"/>
    <w:rsid w:val="00B83C6F"/>
    <w:rsid w:val="00B83F28"/>
    <w:rsid w:val="00B91A82"/>
    <w:rsid w:val="00B93858"/>
    <w:rsid w:val="00BA36F9"/>
    <w:rsid w:val="00BA6F86"/>
    <w:rsid w:val="00BA7348"/>
    <w:rsid w:val="00BB0B53"/>
    <w:rsid w:val="00BB1CF1"/>
    <w:rsid w:val="00BC0F4F"/>
    <w:rsid w:val="00BD3552"/>
    <w:rsid w:val="00BE00E6"/>
    <w:rsid w:val="00BE1138"/>
    <w:rsid w:val="00BE51DA"/>
    <w:rsid w:val="00BE6288"/>
    <w:rsid w:val="00BE646C"/>
    <w:rsid w:val="00BF245C"/>
    <w:rsid w:val="00BF51F1"/>
    <w:rsid w:val="00C02DE0"/>
    <w:rsid w:val="00C03846"/>
    <w:rsid w:val="00C13F92"/>
    <w:rsid w:val="00C21A28"/>
    <w:rsid w:val="00C373D5"/>
    <w:rsid w:val="00C379D6"/>
    <w:rsid w:val="00C454C3"/>
    <w:rsid w:val="00C4770D"/>
    <w:rsid w:val="00C50CE7"/>
    <w:rsid w:val="00C55703"/>
    <w:rsid w:val="00C57B5A"/>
    <w:rsid w:val="00C67152"/>
    <w:rsid w:val="00C726C5"/>
    <w:rsid w:val="00C76CF9"/>
    <w:rsid w:val="00C776CE"/>
    <w:rsid w:val="00C92F5C"/>
    <w:rsid w:val="00C97BDC"/>
    <w:rsid w:val="00CA0BF8"/>
    <w:rsid w:val="00CA3234"/>
    <w:rsid w:val="00CA34ED"/>
    <w:rsid w:val="00CB02F0"/>
    <w:rsid w:val="00CB0C8D"/>
    <w:rsid w:val="00CB1A2F"/>
    <w:rsid w:val="00CB224A"/>
    <w:rsid w:val="00CB27A9"/>
    <w:rsid w:val="00CB7274"/>
    <w:rsid w:val="00CD23C3"/>
    <w:rsid w:val="00CD35E3"/>
    <w:rsid w:val="00CD639B"/>
    <w:rsid w:val="00CE1C0F"/>
    <w:rsid w:val="00CE38A1"/>
    <w:rsid w:val="00CE52CE"/>
    <w:rsid w:val="00CF2278"/>
    <w:rsid w:val="00CF3001"/>
    <w:rsid w:val="00CF3FC8"/>
    <w:rsid w:val="00D00916"/>
    <w:rsid w:val="00D0288C"/>
    <w:rsid w:val="00D037B2"/>
    <w:rsid w:val="00D0580D"/>
    <w:rsid w:val="00D05CC8"/>
    <w:rsid w:val="00D07047"/>
    <w:rsid w:val="00D12484"/>
    <w:rsid w:val="00D13E68"/>
    <w:rsid w:val="00D14D35"/>
    <w:rsid w:val="00D15289"/>
    <w:rsid w:val="00D22B09"/>
    <w:rsid w:val="00D263B5"/>
    <w:rsid w:val="00D35CBD"/>
    <w:rsid w:val="00D36326"/>
    <w:rsid w:val="00D44339"/>
    <w:rsid w:val="00D47D4B"/>
    <w:rsid w:val="00D525F1"/>
    <w:rsid w:val="00D53F2B"/>
    <w:rsid w:val="00D5716A"/>
    <w:rsid w:val="00D6078F"/>
    <w:rsid w:val="00D63098"/>
    <w:rsid w:val="00D80D34"/>
    <w:rsid w:val="00D80E99"/>
    <w:rsid w:val="00D84182"/>
    <w:rsid w:val="00D85105"/>
    <w:rsid w:val="00D86715"/>
    <w:rsid w:val="00D86848"/>
    <w:rsid w:val="00D913D1"/>
    <w:rsid w:val="00D91B8A"/>
    <w:rsid w:val="00D94124"/>
    <w:rsid w:val="00D964BF"/>
    <w:rsid w:val="00D97D01"/>
    <w:rsid w:val="00DA106D"/>
    <w:rsid w:val="00DB316C"/>
    <w:rsid w:val="00DB378F"/>
    <w:rsid w:val="00DB455C"/>
    <w:rsid w:val="00DB652E"/>
    <w:rsid w:val="00DB6869"/>
    <w:rsid w:val="00DC0751"/>
    <w:rsid w:val="00DC126A"/>
    <w:rsid w:val="00DC25D4"/>
    <w:rsid w:val="00DD045E"/>
    <w:rsid w:val="00DD7DD6"/>
    <w:rsid w:val="00DE3815"/>
    <w:rsid w:val="00DE4277"/>
    <w:rsid w:val="00DE5496"/>
    <w:rsid w:val="00DF12D3"/>
    <w:rsid w:val="00DF641E"/>
    <w:rsid w:val="00E019A9"/>
    <w:rsid w:val="00E02FB0"/>
    <w:rsid w:val="00E060AA"/>
    <w:rsid w:val="00E1431D"/>
    <w:rsid w:val="00E148F6"/>
    <w:rsid w:val="00E2179C"/>
    <w:rsid w:val="00E24617"/>
    <w:rsid w:val="00E247FF"/>
    <w:rsid w:val="00E262EA"/>
    <w:rsid w:val="00E32307"/>
    <w:rsid w:val="00E32D17"/>
    <w:rsid w:val="00E34954"/>
    <w:rsid w:val="00E36BBE"/>
    <w:rsid w:val="00E61F96"/>
    <w:rsid w:val="00E67BB5"/>
    <w:rsid w:val="00E74B43"/>
    <w:rsid w:val="00E817AD"/>
    <w:rsid w:val="00E84A88"/>
    <w:rsid w:val="00E84CFB"/>
    <w:rsid w:val="00E94756"/>
    <w:rsid w:val="00E95455"/>
    <w:rsid w:val="00E97E56"/>
    <w:rsid w:val="00E97E88"/>
    <w:rsid w:val="00E97FD3"/>
    <w:rsid w:val="00EB625B"/>
    <w:rsid w:val="00EB6C61"/>
    <w:rsid w:val="00EC65E8"/>
    <w:rsid w:val="00ED6797"/>
    <w:rsid w:val="00EE2461"/>
    <w:rsid w:val="00EE5585"/>
    <w:rsid w:val="00EE5785"/>
    <w:rsid w:val="00EE5C8F"/>
    <w:rsid w:val="00EF6322"/>
    <w:rsid w:val="00EF73F5"/>
    <w:rsid w:val="00F02337"/>
    <w:rsid w:val="00F06DD8"/>
    <w:rsid w:val="00F1134A"/>
    <w:rsid w:val="00F130FD"/>
    <w:rsid w:val="00F14732"/>
    <w:rsid w:val="00F25AD2"/>
    <w:rsid w:val="00F26321"/>
    <w:rsid w:val="00F3235F"/>
    <w:rsid w:val="00F41247"/>
    <w:rsid w:val="00F42F79"/>
    <w:rsid w:val="00F545A1"/>
    <w:rsid w:val="00F55F8A"/>
    <w:rsid w:val="00F56C3B"/>
    <w:rsid w:val="00F63161"/>
    <w:rsid w:val="00F641A9"/>
    <w:rsid w:val="00F662A8"/>
    <w:rsid w:val="00F6735D"/>
    <w:rsid w:val="00F67446"/>
    <w:rsid w:val="00F737E0"/>
    <w:rsid w:val="00F77DCB"/>
    <w:rsid w:val="00F82F95"/>
    <w:rsid w:val="00F95779"/>
    <w:rsid w:val="00F95F15"/>
    <w:rsid w:val="00F960A4"/>
    <w:rsid w:val="00F97987"/>
    <w:rsid w:val="00FA0B76"/>
    <w:rsid w:val="00FA1A0E"/>
    <w:rsid w:val="00FA4529"/>
    <w:rsid w:val="00FB2EFD"/>
    <w:rsid w:val="00FB40CB"/>
    <w:rsid w:val="00FC28E2"/>
    <w:rsid w:val="00FC4BE4"/>
    <w:rsid w:val="00FC6D51"/>
    <w:rsid w:val="00FC7BD9"/>
    <w:rsid w:val="00FD1B88"/>
    <w:rsid w:val="00FD2343"/>
    <w:rsid w:val="00FD2A52"/>
    <w:rsid w:val="00FD4D64"/>
    <w:rsid w:val="00FE418D"/>
    <w:rsid w:val="00FE7A55"/>
    <w:rsid w:val="00FF1187"/>
    <w:rsid w:val="00FF2474"/>
    <w:rsid w:val="00FF266B"/>
    <w:rsid w:val="00FF385B"/>
    <w:rsid w:val="00FF4279"/>
    <w:rsid w:val="00FF58EB"/>
    <w:rsid w:val="00FF61C2"/>
    <w:rsid w:val="01467B1D"/>
    <w:rsid w:val="19E41FBB"/>
    <w:rsid w:val="23284536"/>
    <w:rsid w:val="44B8581C"/>
    <w:rsid w:val="5D0E613A"/>
    <w:rsid w:val="67F905F8"/>
    <w:rsid w:val="69E56440"/>
    <w:rsid w:val="6DFA01B2"/>
    <w:rsid w:val="759559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link w:val="14"/>
    <w:unhideWhenUsed/>
    <w:qFormat/>
    <w:uiPriority w:val="99"/>
    <w:pPr>
      <w:widowControl/>
      <w:jc w:val="left"/>
    </w:pPr>
    <w:rPr>
      <w:rFonts w:ascii="宋体" w:hAnsi="宋体"/>
      <w:sz w:val="24"/>
    </w:rPr>
  </w:style>
  <w:style w:type="character" w:styleId="11">
    <w:name w:val="page number"/>
    <w:qFormat/>
    <w:uiPriority w:val="99"/>
    <w:rPr>
      <w:rFonts w:cs="Times New Roman"/>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普通(网站) 字符"/>
    <w:link w:val="8"/>
    <w:qFormat/>
    <w:locked/>
    <w:uiPriority w:val="99"/>
    <w:rPr>
      <w:rFonts w:ascii="宋体" w:hAnsi="宋体" w:eastAsia="宋体" w:cs="Times New Roman"/>
      <w:sz w:val="24"/>
      <w:szCs w:val="24"/>
    </w:rPr>
  </w:style>
  <w:style w:type="character" w:customStyle="1" w:styleId="15">
    <w:name w:val="批注框文本 字符"/>
    <w:basedOn w:val="10"/>
    <w:link w:val="5"/>
    <w:semiHidden/>
    <w:qFormat/>
    <w:uiPriority w:val="99"/>
    <w:rPr>
      <w:rFonts w:ascii="Times New Roman" w:hAnsi="Times New Roman" w:eastAsia="宋体" w:cs="Times New Roman"/>
      <w:sz w:val="18"/>
      <w:szCs w:val="18"/>
    </w:rPr>
  </w:style>
  <w:style w:type="character" w:customStyle="1" w:styleId="16">
    <w:name w:val="日期 字符"/>
    <w:basedOn w:val="10"/>
    <w:link w:val="4"/>
    <w:semiHidden/>
    <w:qFormat/>
    <w:uiPriority w:val="99"/>
    <w:rPr>
      <w:rFonts w:ascii="Times New Roman" w:hAnsi="Times New Roman" w:eastAsia="宋体" w:cs="Times New Roman"/>
      <w:szCs w:val="24"/>
    </w:rPr>
  </w:style>
  <w:style w:type="paragraph" w:customStyle="1" w:styleId="17">
    <w:name w:val="00标题1"/>
    <w:basedOn w:val="2"/>
    <w:semiHidden/>
    <w:qFormat/>
    <w:uiPriority w:val="99"/>
    <w:pPr>
      <w:keepNext w:val="0"/>
      <w:keepLines w:val="0"/>
      <w:pageBreakBefore/>
      <w:tabs>
        <w:tab w:val="left" w:pos="1290"/>
      </w:tabs>
      <w:spacing w:beforeLines="100" w:after="0" w:line="480" w:lineRule="exact"/>
      <w:jc w:val="center"/>
    </w:pPr>
    <w:rPr>
      <w:rFonts w:ascii="楷体_GB2312" w:hAnsi="楷体_GB2312" w:eastAsia="Arial Narrow" w:cs="楷体_GB2312"/>
      <w:bCs w:val="0"/>
      <w:kern w:val="2"/>
      <w:sz w:val="32"/>
      <w:szCs w:val="20"/>
    </w:rPr>
  </w:style>
  <w:style w:type="character" w:customStyle="1" w:styleId="18">
    <w:name w:val="标题 1 字符"/>
    <w:basedOn w:val="10"/>
    <w:link w:val="2"/>
    <w:qFormat/>
    <w:uiPriority w:val="9"/>
    <w:rPr>
      <w:rFonts w:ascii="Times New Roman" w:hAnsi="Times New Roman" w:eastAsia="宋体" w:cs="Times New Roman"/>
      <w:b/>
      <w:bCs/>
      <w:kern w:val="44"/>
      <w:sz w:val="44"/>
      <w:szCs w:val="44"/>
    </w:rPr>
  </w:style>
  <w:style w:type="character" w:customStyle="1" w:styleId="19">
    <w:name w:val="第五级-正文 Char"/>
    <w:link w:val="20"/>
    <w:qFormat/>
    <w:locked/>
    <w:uiPriority w:val="0"/>
    <w:rPr>
      <w:rFonts w:ascii="Times New Roman" w:hAnsi="Times New Roman"/>
      <w:sz w:val="24"/>
    </w:rPr>
  </w:style>
  <w:style w:type="paragraph" w:customStyle="1" w:styleId="20">
    <w:name w:val="第五级-正文"/>
    <w:basedOn w:val="1"/>
    <w:link w:val="19"/>
    <w:qFormat/>
    <w:uiPriority w:val="0"/>
    <w:pPr>
      <w:spacing w:beforeLines="50" w:line="360" w:lineRule="auto"/>
      <w:ind w:firstLine="480" w:firstLineChars="200"/>
    </w:pPr>
    <w:rPr>
      <w:rFonts w:eastAsiaTheme="minorEastAsia" w:cstheme="minorBidi"/>
      <w:sz w:val="24"/>
      <w:szCs w:val="22"/>
    </w:rPr>
  </w:style>
  <w:style w:type="paragraph" w:customStyle="1" w:styleId="21">
    <w:name w:val="Default"/>
    <w:qFormat/>
    <w:uiPriority w:val="99"/>
    <w:pPr>
      <w:widowControl w:val="0"/>
      <w:autoSpaceDE w:val="0"/>
      <w:autoSpaceDN w:val="0"/>
      <w:adjustRightInd w:val="0"/>
    </w:pPr>
    <w:rPr>
      <w:rFonts w:ascii="宋体" w:hAnsi="宋体" w:eastAsia="宋体" w:cs="宋体"/>
      <w:color w:val="000000"/>
      <w:kern w:val="0"/>
      <w:sz w:val="24"/>
      <w:szCs w:val="24"/>
      <w:lang w:val="en-US" w:eastAsia="zh-CN" w:bidi="ar-SA"/>
    </w:rPr>
  </w:style>
  <w:style w:type="character" w:customStyle="1" w:styleId="22">
    <w:name w:val="标题 3 字符"/>
    <w:basedOn w:val="10"/>
    <w:link w:val="3"/>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1EB44-C317-4219-B205-567E07E57EA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2987</Words>
  <Characters>3012</Characters>
  <Lines>146</Lines>
  <Paragraphs>41</Paragraphs>
  <TotalTime>335</TotalTime>
  <ScaleCrop>false</ScaleCrop>
  <LinksUpToDate>false</LinksUpToDate>
  <CharactersWithSpaces>3043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2020-03-09T09:11:00Z</dcterms:created>
  <dc:creator>徐梦颖</dc:creator>
  <cp:lastModifiedBy>我粉刷本领强</cp:lastModifiedBy>
  <cp:lastPrinted>2020-03-31T03:06:00Z</cp:lastPrinted>
  <dcterms:modified xsi:type="dcterms:W3CDTF">2026-04-27T01:51:33Z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0E8AFD6411B245A598BB2CA1F22A56ED_12</vt:lpwstr>
  </property>
  <property fmtid="{D5CDD505-2E9C-101B-9397-08002B2CF9AE}" pid="4" name="KSOTemplateDocerSaveRecord">
    <vt:lpwstr>eyJoZGlkIjoiYmNlY2MyYTViMzI0YWYzZGI1ZTMzMjc4ZWY4OTAwYzciLCJ1c2VySWQiOiI0NzMxMTM2NjQifQ==</vt:lpwstr>
  </property>
</Properties>
</file>