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1D385">
      <w:pPr>
        <w:spacing w:line="720" w:lineRule="exact"/>
        <w:jc w:val="center"/>
        <w:rPr>
          <w:rFonts w:eastAsia="方正小标宋_GBK"/>
          <w:sz w:val="44"/>
          <w:szCs w:val="36"/>
        </w:rPr>
      </w:pPr>
      <w:r>
        <w:rPr>
          <w:rFonts w:hint="eastAsia" w:eastAsia="方正小标宋_GBK"/>
          <w:sz w:val="44"/>
          <w:szCs w:val="36"/>
        </w:rPr>
        <w:t>南京证券股份有限公司</w:t>
      </w:r>
    </w:p>
    <w:p w14:paraId="4333332B">
      <w:pPr>
        <w:spacing w:line="720" w:lineRule="exact"/>
        <w:ind w:left="0" w:leftChars="0"/>
        <w:jc w:val="center"/>
        <w:rPr>
          <w:rFonts w:hint="eastAsia" w:eastAsia="方正小标宋_GBK"/>
          <w:sz w:val="44"/>
          <w:szCs w:val="36"/>
        </w:rPr>
      </w:pPr>
      <w:r>
        <w:rPr>
          <w:rFonts w:hint="eastAsia" w:eastAsia="方正小标宋_GBK"/>
          <w:sz w:val="44"/>
          <w:szCs w:val="36"/>
        </w:rPr>
        <w:t>沪港通下港股通交易风险揭示书</w:t>
      </w:r>
    </w:p>
    <w:p w14:paraId="2070684B">
      <w:pPr>
        <w:keepNext w:val="0"/>
        <w:keepLines w:val="0"/>
        <w:widowControl/>
        <w:suppressLineNumbers w:val="0"/>
        <w:spacing w:before="0" w:beforeAutospacing="0" w:after="0" w:afterAutospacing="0" w:line="720" w:lineRule="exact"/>
        <w:ind w:left="0" w:right="0"/>
        <w:jc w:val="center"/>
        <w:rPr>
          <w:rFonts w:hint="default" w:ascii="Times New Roman" w:hAnsi="Times New Roman" w:eastAsia="仿宋_GB2312" w:cs="Times New Roman"/>
          <w:color w:val="000000"/>
          <w:w w:val="99"/>
          <w:kern w:val="0"/>
          <w:sz w:val="32"/>
          <w:szCs w:val="32"/>
        </w:rPr>
      </w:pPr>
    </w:p>
    <w:p w14:paraId="5DA5F478">
      <w:pPr>
        <w:spacing w:line="560" w:lineRule="exact"/>
        <w:ind w:firstLine="0" w:firstLineChars="0"/>
        <w:rPr>
          <w:rFonts w:ascii="Times New Roman" w:hAnsi="Times New Roman" w:eastAsia="仿宋_GB2312"/>
          <w:color w:val="000000"/>
          <w:kern w:val="2"/>
          <w:sz w:val="32"/>
          <w:szCs w:val="32"/>
          <w:lang w:bidi="ar"/>
        </w:rPr>
      </w:pPr>
      <w:r>
        <w:rPr>
          <w:rFonts w:hint="default" w:ascii="Times New Roman" w:hAnsi="Times New Roman" w:eastAsia="仿宋_GB2312"/>
          <w:color w:val="000000"/>
          <w:kern w:val="2"/>
          <w:sz w:val="32"/>
          <w:szCs w:val="32"/>
          <w:lang w:bidi="ar"/>
        </w:rPr>
        <w:t>尊敬的港股通投资者：</w:t>
      </w:r>
    </w:p>
    <w:p w14:paraId="7662CEF7">
      <w:pPr>
        <w:keepNext w:val="0"/>
        <w:keepLines w:val="0"/>
        <w:widowControl/>
        <w:suppressLineNumbers w:val="0"/>
        <w:spacing w:before="0" w:beforeAutospacing="0" w:after="0" w:afterAutospacing="0" w:line="560" w:lineRule="exact"/>
        <w:ind w:left="0" w:right="0" w:firstLine="640" w:firstLineChars="200"/>
        <w:jc w:val="left"/>
        <w:rPr>
          <w:rFonts w:hint="eastAsia" w:ascii="方正仿宋_GBK" w:hAnsi="Calibri" w:eastAsia="方正仿宋_GBK" w:cs="Times New Roman"/>
          <w:color w:val="auto"/>
          <w:kern w:val="0"/>
          <w:sz w:val="32"/>
          <w:szCs w:val="32"/>
        </w:rPr>
      </w:pPr>
      <w:r>
        <w:rPr>
          <w:rFonts w:hint="default" w:ascii="Times New Roman" w:hAnsi="Times New Roman" w:eastAsia="仿宋_GB2312"/>
          <w:color w:val="000000"/>
          <w:kern w:val="2"/>
          <w:sz w:val="32"/>
          <w:szCs w:val="32"/>
          <w:lang w:bidi="ar"/>
        </w:rPr>
        <w:t>本风险揭示书并不能揭示从事沪港通下港股通（以下简称“港股通”）交易的全部风险，您务必对此有清醒的认识，认真考虑是否参与港股通交易。在您决定参与港股通交易之前，请您务必认真阅读中国证监会《中国证券监督管理委员会香港证券及期货事务监察委员会联合公告》《内地与香港股票市场交易互联互通机制若干规定》《关于交易型开放式基金纳入互联互通相关安排的公告》、上海证券交易所（以下简称“上交所”）《上海证券交易所沪港通业务实施办法》、中国证券登记结算有限责任公司（以下简称“中国结算”）《内地与香港股票市场交易互联互通机制登记、存管、结算业务实施细则》和本风险揭示书，并在本风险揭示书上签字确认。此风险揭示书以及您与本公司签署的《沪港通下港股通交易委托代理协议》，共同构成您委托本公司参与港股通交易的协议。</w:t>
      </w:r>
    </w:p>
    <w:p w14:paraId="0672F97D">
      <w:pPr>
        <w:spacing w:line="560" w:lineRule="exact"/>
        <w:ind w:firstLine="640" w:firstLineChars="200"/>
        <w:rPr>
          <w:rFonts w:ascii="Times New Roman" w:hAnsi="Times New Roman" w:eastAsia="仿宋_GB2312"/>
          <w:color w:val="000000"/>
          <w:kern w:val="2"/>
          <w:sz w:val="32"/>
          <w:szCs w:val="32"/>
          <w:lang w:bidi="ar"/>
        </w:rPr>
      </w:pPr>
      <w:r>
        <w:rPr>
          <w:rFonts w:hint="default" w:ascii="Times New Roman" w:hAnsi="Times New Roman" w:eastAsia="仿宋_GB2312"/>
          <w:color w:val="000000"/>
          <w:kern w:val="2"/>
          <w:sz w:val="32"/>
          <w:szCs w:val="32"/>
          <w:lang w:bidi="ar"/>
        </w:rPr>
        <w:t>我们郑重提醒您：您如参与港股通交易，除了面临证券市场中的宏观经济风险、政策风险、上市公司经营风险、技术风险、不可抗力因素导致的风险等之外，还可能面临包括但不限于以下风险：</w:t>
      </w:r>
    </w:p>
    <w:p w14:paraId="38F5136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w:t>
      </w:r>
      <w:r>
        <w:rPr>
          <w:rFonts w:hint="eastAsia" w:ascii="Times New Roman" w:hAnsi="Times New Roman" w:eastAsia="仿宋_GB2312" w:cs="Times New Roman"/>
          <w:color w:val="000000"/>
          <w:kern w:val="2"/>
          <w:sz w:val="32"/>
          <w:szCs w:val="32"/>
          <w:lang w:val="en-US" w:eastAsia="zh-CN" w:bidi="ar"/>
        </w:rPr>
        <w:t>由于</w:t>
      </w:r>
      <w:r>
        <w:rPr>
          <w:rFonts w:hint="default" w:ascii="Times New Roman" w:hAnsi="Times New Roman" w:eastAsia="仿宋_GB2312" w:cs="Times New Roman"/>
          <w:color w:val="000000"/>
          <w:kern w:val="2"/>
          <w:sz w:val="32"/>
          <w:szCs w:val="32"/>
          <w:lang w:val="en-US" w:eastAsia="zh-CN" w:bidi="ar"/>
        </w:rPr>
        <w:t>香港证券市场与内地证券市场存在诸多差异，</w:t>
      </w:r>
      <w:r>
        <w:rPr>
          <w:rFonts w:hint="default" w:ascii="Times New Roman" w:hAnsi="Times New Roman" w:eastAsia="仿宋_GB2312"/>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14:paraId="0806B2C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可以通过港股通买卖的标的证券存在一定的范围限制，且港股通标的证券名单会动态调整。</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应当关注最新的港股通标的证券名单。对于被调出的港股通标的证券，自调整之日起，</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将不得再行买入。</w:t>
      </w:r>
    </w:p>
    <w:p w14:paraId="6966F356">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港股通股票可能出现因公司基本面变化、第三方研究分析报告的观点、异常交易情形、做空机制等原因而引起股价较大波动的情形；部分港股通股票上市时间较短，且上市时自由流通股份较少，上市初期可能出现股价波动较大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限售股锁定期届满后大量减持以及其他原因而出现股价较大波动的情形；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应关注可能产生的风险。</w:t>
      </w:r>
    </w:p>
    <w:p w14:paraId="32D4A9B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四、部分港股通股票可能存在大比例折价供股或配股、频繁分拆合并股份的行为，</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持有的股份数量、股票面值可能发生大幅变化，</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应关注可能产生的风险。</w:t>
      </w:r>
    </w:p>
    <w:p w14:paraId="09B6E5B8">
      <w:pPr>
        <w:keepNext w:val="0"/>
        <w:keepLines w:val="0"/>
        <w:widowControl w:val="0"/>
        <w:suppressLineNumbers w:val="0"/>
        <w:spacing w:before="0" w:beforeAutospacing="0" w:after="0" w:afterAutospacing="0" w:line="560" w:lineRule="exact"/>
        <w:ind w:left="0" w:right="0" w:firstLine="6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应当关注可能产生的风险。</w:t>
      </w:r>
    </w:p>
    <w:p w14:paraId="0E082B4E">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六、部分港股通生物科技公司、特专科技公司可能存在公开发行并上市时尚未有收入，上市后仍无收入、持续亏损、无法进行利润分配等情形，</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应当关注可能产生的风险。</w:t>
      </w:r>
    </w:p>
    <w:p w14:paraId="1A849A4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七、部分港股通股票可能因为上市公司注册地、主营业务经营所在地法律法规、语言或文化习惯等与内地存在差异，导致投资者较难获取或理解公司实际经营状况相关资讯，</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应当关注可能产生的风险。</w:t>
      </w:r>
    </w:p>
    <w:p w14:paraId="3952AE2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八、与内地证券市场相比</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联交所市场证券停牌制度存在一定差异，港股通标的证券可能出现长时间停牌现象，</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应关注可能产生的风险。</w:t>
      </w:r>
    </w:p>
    <w:p w14:paraId="104C5A1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九、与内地证券市场相比，联交所市场股票交易没有退市风险警示、退市整理等安排，相关股票存在直接退市的风险。港股通股票一旦从联交所市场退市，</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将面临无法继续通过港股通买卖相关股票的风险。</w:t>
      </w:r>
    </w:p>
    <w:p w14:paraId="728FCA7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十、与内地证券市场相比，香港市场ETF终止上市或更换基金管理人等制度安排存在一定差异，港股通ETF可能因基金管理人主动退出香港市场导致终止上市或更换基金管理人，</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应当关注可能产生的风险。</w:t>
      </w:r>
    </w:p>
    <w:p w14:paraId="146AD1C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十一、港股通股票退市后，因香港中央结算有限公司（以下简称香港结算）可能无法比照退市前标准提供名义持有人服务，中国结算通过香港结算继续为</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提供的退市股票名义持有人服务可能会受限，</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应当关注可能产生的风险。</w:t>
      </w:r>
    </w:p>
    <w:p w14:paraId="1C80B0A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十二、与内地证券市场相比，香港市场ETF发生清盘，将基金资产变现所得的资金派发给投资者后，投资者证券账户中相应基金份额的注销日与清盘资金发放日之间可能间隔较长时间，对清盘后尚未注销的基金份额，</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应审慎评估其价值。</w:t>
      </w:r>
    </w:p>
    <w:p w14:paraId="09B8B76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十三、港股通业务实施每日额度限制。在联交所开市前时段，当日额度使用完毕的，新增的买单申报将面临失败的风险；在联交所持续交易时段、收市竞价交易时段，当日额度使用完毕的，当日</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将面临不能通过港股通进行买入交易的风险。</w:t>
      </w:r>
    </w:p>
    <w:p w14:paraId="363690B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十四、沪港通交易日历优化正式实施后，只有沪港两地均为交易日的日期才为港股通交易日，具体以上交所证券交易服务公司在其指定网站公布的日期为准。</w:t>
      </w:r>
    </w:p>
    <w:p w14:paraId="1A72FE0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十五、每个港股通交易日的交易时间包括开市前时段、持续交易时段和收市竞价交易时段，具体按联交所的规定执行。</w:t>
      </w:r>
    </w:p>
    <w:p w14:paraId="14123CA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圣诞前夕（12月24日）、元旦前夕（12月31日）或除夕日为港股通交易日的，港股通仅有半天交易，且当日为非交收日。</w:t>
      </w:r>
    </w:p>
    <w:p w14:paraId="329D20EA">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十六、出现联交所认定的异常情况时，联交所将可能决定临时停市、暂停接受部分或者全部港股通交易申报等措施，</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将面临期间无法进行港股通交易的风险；出现上交所证券交易服务公司认定的交易异常情况时，上交所证券交易服务公司将可能暂停提供部分或者全部港股通服务，</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将面临在暂停服务期间无法进行港股通交易的风险。上交所证券交易服务公司及上交所对于发生交易异常情况及采取相应处置措施造成的损失，不承担民事赔偿责任，但存在重大过错的除外。</w:t>
      </w:r>
    </w:p>
    <w:p w14:paraId="2E84016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十七、</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14:paraId="559369F0">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十八、</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参与联交所自动对盘系统交易，在联交所开市前时段和收市竞价交易时段应当采用竞价限价盘委托，在联交所持续交易时段应当采用增强限价盘委托。</w:t>
      </w:r>
    </w:p>
    <w:p w14:paraId="57CC8FD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十九、</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持有的碎股只能通过联交所半自动对盘碎股交易系统卖出。</w:t>
      </w:r>
    </w:p>
    <w:p w14:paraId="6EDFF0B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应关注可能产生的风险。</w:t>
      </w:r>
    </w:p>
    <w:p w14:paraId="387F23F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一、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应关注可能产生的风险。</w:t>
      </w:r>
    </w:p>
    <w:p w14:paraId="713F8B3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二、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3D60E5B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二十三、</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当日买入的港股通标的证券，经确认成交后，在交收前即可卖出，</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37EACBE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二十四、与内地证券市场相比，联交所在订单申报的最小交易价差、每手证券数量、申报最大限制等方面存在一定的差异，</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5C639CB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二十五、港股通交易中若联交所与上交所证券交易服务公司之间的报盘系统或者通信链路出现故障，可能导致15分钟以上不能申报和撤销申报，</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53139E6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二十六、港股通标的证券交易不设置涨跌幅限制，但根据联交所业务规则，适用市场波动调节机制的港股通标的证券的买卖申报可能受到价格限制，</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5E1C15D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二十七、对于适用收市竞价交易的港股通标的证券，根据联交所业务规则，收市竞价交易时段的买卖申报将受到价格限制，</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0B0F9F9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二十八、对于适用开市前时段的港股通标的证券，根据联交所业务规则，开市前时段的买卖申报将受到价格限制，</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应当关注因此可能产生的风险。</w:t>
      </w:r>
    </w:p>
    <w:p w14:paraId="5B5DAEC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二十九、</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通过港股通业务获得的香港证券市场免费一档行情，与付费方式获得的行情相比，在刷新频率、档位显示等方面存在差异，</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应当关注依此进行投资决策的风险。</w:t>
      </w:r>
    </w:p>
    <w:p w14:paraId="5118B4C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三十、在香港证券市场，证券价格上涨时，证券报价屏幕上显示的颜色为绿色，下跌时则为红色，与内地证券市场存在差异。但是，不同的行情软件商提供的行情走势颜色可以重新设定，</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在使用行情软件的时候，应当仔细检查软件的参数设置，避免惯性思维带来的风险。</w:t>
      </w:r>
    </w:p>
    <w:p w14:paraId="3A5AFAB0">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三十一、</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686DE98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三十二、香港证券市场与内地证券市场在证券资金的交收期安排上存在差异，港股通交易的交收期为T+2日（只有沪港两地均为交收日的日期才为港股通交收日）。若</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卖出证券，在交收完成前仍享有该证券的权益。若</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买入证券，在交收完成后才享有该证券的权益。</w:t>
      </w:r>
    </w:p>
    <w:p w14:paraId="35E28E7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同时，港股通交易的交收可能因香港出现台风或黑色暴雨等发生延迟交收。</w:t>
      </w:r>
    </w:p>
    <w:p w14:paraId="356A306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三十三、</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通过港股通业务暂不能参与新股发行认购、超额供股和超额公开配售，以及ETF发行认购和申购赎回。</w:t>
      </w:r>
    </w:p>
    <w:p w14:paraId="5C3A57A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四、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3D9964E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三十五、沪港通交易日历优化正式实施后，对于在联交所上市公司的供股业务，中国结算将在境内申报截止日日终确定投资者账户供股权的有效申报数量，并记减有效申报的供股权。</w:t>
      </w:r>
    </w:p>
    <w:p w14:paraId="7B61702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三十六、中国结算在收到香港结算派发的联交所上市公司现金红利或联交所上市ETF收益分配后，需要按规则对外币红利资金进行换汇、清算、代扣代缴税款、发放等业务处理，</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通过港股通业务获得的现金红利将会较香港市场有所延后。部分港股通股票红利派发可能存在要求投资者申报相关信息的情形，请投资者及时关注上市公司官方公告或证券公司提示，并通过证券公司进行申报。</w:t>
      </w:r>
    </w:p>
    <w:p w14:paraId="2E3EFF0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七、对于在联交所上市公司派发的红股，中国结算在收到香港结算派发红股到账当日或次日进行业务处理，相应红股可于处理日下一港股通交易日上市交易。投资者红股可卖首日均较香港市场晚一个港股通交易日。</w:t>
      </w:r>
    </w:p>
    <w:p w14:paraId="66311D3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八、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27B5F03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九、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14:paraId="796FF40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四十、由于香港市场的费用收取或汇率的大幅波动等原因，可能会引起投资者账户的透支，</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应当对账户内的余额进行关注。</w:t>
      </w:r>
    </w:p>
    <w:p w14:paraId="28909AE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四十一、香港结算因极端情况下无法交付证券对中国结算实施现金结算的，中国结算将参照香港结算的处理原则进行相应业务处理。</w:t>
      </w:r>
    </w:p>
    <w:p w14:paraId="58843DE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四十二、港股通境内结算实施分级结算原则。</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可能面临以下风险：（一）因结算参与人未完成与中国结算的集中交收，导致</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应收资金或证券被暂不交付或处置；（二）结算参与人对</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出现交收违约导致</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未能取得应收证券或资金；（三）结算参与人向中国结算发送的有关</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的证券划付指令有误的导致</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权益受损；（四）其他因结算参与人未遵守相关业务规则导致</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利益受到损害的情况。</w:t>
      </w:r>
    </w:p>
    <w:p w14:paraId="31732B5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四十三、香港市场收费标准与内地市场收费标准不同，香港地区与内地在税收安排方面也存在差异，</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买卖港股通标的证券，应当按照香港市场有关规定交纳相关费用，并按照香港地区相关规定缴纳税款。部分港股通股票可能根据上市公司注册地或主营业务经营所在地要求，存在其他税收安排。</w:t>
      </w:r>
    </w:p>
    <w:p w14:paraId="1FD098AA">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四十四、对于因上交所、中国结算制定、修改业务规则，或者根据业务规则履行自律监管职责等造成的损失，上交所和中国结算不承担责任；</w:t>
      </w:r>
      <w:r>
        <w:rPr>
          <w:rFonts w:hint="eastAsia" w:ascii="Times New Roman" w:hAnsi="Times New Roman" w:eastAsia="仿宋_GB2312" w:cs="Times New Roman"/>
          <w:color w:val="000000"/>
          <w:kern w:val="2"/>
          <w:sz w:val="32"/>
          <w:szCs w:val="32"/>
          <w:lang w:val="en-US" w:eastAsia="zh-CN" w:bidi="ar"/>
        </w:rPr>
        <w:t>您</w:t>
      </w:r>
      <w:r>
        <w:rPr>
          <w:rFonts w:hint="default" w:ascii="Times New Roman" w:hAnsi="Times New Roman" w:eastAsia="仿宋_GB2312" w:cs="Times New Roman"/>
          <w:color w:val="000000"/>
          <w:kern w:val="2"/>
          <w:sz w:val="32"/>
          <w:szCs w:val="32"/>
          <w:lang w:val="en-US" w:eastAsia="zh-CN" w:bidi="ar"/>
        </w:rPr>
        <w:t>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14:paraId="62D94673">
      <w:pPr>
        <w:spacing w:line="560" w:lineRule="exact"/>
        <w:ind w:firstLine="640" w:firstLineChars="0"/>
        <w:rPr>
          <w:rFonts w:hint="default" w:ascii="Times New Roman" w:hAnsi="Times New Roman" w:eastAsia="仿宋_GB2312"/>
          <w:b w:val="0"/>
          <w:bCs w:val="0"/>
          <w:color w:val="000000"/>
          <w:kern w:val="2"/>
          <w:sz w:val="32"/>
          <w:szCs w:val="32"/>
          <w:lang w:bidi="ar"/>
        </w:rPr>
      </w:pPr>
    </w:p>
    <w:p w14:paraId="35FD08A9">
      <w:pPr>
        <w:spacing w:line="560" w:lineRule="exact"/>
        <w:ind w:firstLine="640" w:firstLineChars="0"/>
        <w:rPr>
          <w:rFonts w:ascii="Times New Roman" w:hAnsi="Times New Roman" w:eastAsia="仿宋_GB2312"/>
          <w:b/>
          <w:bCs/>
          <w:color w:val="000000"/>
          <w:kern w:val="2"/>
          <w:sz w:val="32"/>
          <w:szCs w:val="32"/>
          <w:lang w:bidi="ar"/>
        </w:rPr>
      </w:pPr>
      <w:r>
        <w:rPr>
          <w:rFonts w:hint="default" w:ascii="Times New Roman" w:hAnsi="Times New Roman" w:eastAsia="仿宋_GB2312"/>
          <w:b/>
          <w:bCs/>
          <w:color w:val="000000"/>
          <w:kern w:val="2"/>
          <w:sz w:val="32"/>
          <w:szCs w:val="32"/>
          <w:lang w:bidi="ar"/>
        </w:rPr>
        <w:t>上述风险揭示事项仅为列举性质，未能详尽列明港股通交易的所有风险因素，且未来有关法律法规和业务规则发生变化时可能不会要求投资者重新签署风险揭示书。您在参与港股通交易前，应当认真阅读有关法律法规、业务规则和协议条款，对港股通交易特有的规则必须了解和掌握，并确信自己已做好足够的风险评估与财务安排，避免因参与港股通交易而遭受难以承受的风险和损失。</w:t>
      </w:r>
    </w:p>
    <w:p w14:paraId="1A81529F">
      <w:pPr>
        <w:spacing w:line="560" w:lineRule="exact"/>
        <w:ind w:firstLine="640" w:firstLineChars="0"/>
        <w:rPr>
          <w:rFonts w:ascii="Times New Roman" w:hAnsi="Times New Roman" w:eastAsia="仿宋_GB2312"/>
          <w:b/>
          <w:bCs/>
          <w:color w:val="000000"/>
          <w:kern w:val="2"/>
          <w:sz w:val="32"/>
          <w:szCs w:val="32"/>
          <w:lang w:bidi="ar"/>
        </w:rPr>
      </w:pPr>
    </w:p>
    <w:p w14:paraId="1E220C2C">
      <w:pPr>
        <w:spacing w:line="560" w:lineRule="exact"/>
        <w:ind w:firstLine="640" w:firstLineChars="0"/>
        <w:rPr>
          <w:rFonts w:ascii="Times New Roman" w:hAnsi="Times New Roman" w:eastAsia="仿宋_GB2312"/>
          <w:b/>
          <w:bCs/>
          <w:color w:val="000000"/>
          <w:kern w:val="2"/>
          <w:sz w:val="32"/>
          <w:szCs w:val="32"/>
          <w:lang w:bidi="ar"/>
        </w:rPr>
      </w:pPr>
      <w:r>
        <w:rPr>
          <w:rFonts w:hint="default" w:ascii="Times New Roman" w:hAnsi="Times New Roman" w:eastAsia="仿宋_GB2312"/>
          <w:b/>
          <w:bCs/>
          <w:color w:val="000000"/>
          <w:kern w:val="2"/>
          <w:sz w:val="32"/>
          <w:szCs w:val="32"/>
          <w:lang w:bidi="ar"/>
        </w:rPr>
        <w:t>您应提高对非法证券活动的识别判断能力，务必注意风险，在遇到类似非法证券活动时，应及时向中国证监会驻当地的派出机构进行咨询或举报，自觉做到知法、懂法、守法，不被虚假宣传所迷惑，不参与非法证券活动，避免上当受骗，保护自身合法权益不受侵害。</w:t>
      </w:r>
    </w:p>
    <w:p w14:paraId="08BA6595">
      <w:pPr>
        <w:spacing w:line="560" w:lineRule="exact"/>
        <w:ind w:firstLine="640" w:firstLineChars="0"/>
        <w:rPr>
          <w:rFonts w:ascii="Times New Roman" w:hAnsi="Times New Roman" w:eastAsia="仿宋_GB2312"/>
          <w:b/>
          <w:bCs/>
          <w:color w:val="000000"/>
          <w:kern w:val="2"/>
          <w:sz w:val="32"/>
          <w:szCs w:val="32"/>
          <w:lang w:bidi="ar"/>
        </w:rPr>
      </w:pPr>
    </w:p>
    <w:p w14:paraId="37785B83">
      <w:pPr>
        <w:spacing w:line="560" w:lineRule="exact"/>
        <w:ind w:firstLine="640"/>
        <w:rPr>
          <w:rFonts w:ascii="Times New Roman" w:hAnsi="Times New Roman" w:eastAsia="仿宋_GB2312"/>
          <w:b w:val="0"/>
          <w:bCs w:val="0"/>
          <w:color w:val="000000"/>
          <w:kern w:val="2"/>
          <w:sz w:val="32"/>
          <w:szCs w:val="32"/>
          <w:lang w:bidi="ar"/>
        </w:rPr>
      </w:pPr>
      <w:r>
        <w:rPr>
          <w:rFonts w:hint="default" w:ascii="Times New Roman" w:hAnsi="Times New Roman" w:eastAsia="仿宋_GB2312"/>
          <w:b/>
          <w:bCs/>
          <w:color w:val="000000"/>
          <w:kern w:val="2"/>
          <w:sz w:val="32"/>
          <w:szCs w:val="32"/>
          <w:lang w:bidi="ar"/>
        </w:rPr>
        <w:t>南京证券分支机构工作人员已对本人</w:t>
      </w:r>
      <w:r>
        <w:rPr>
          <w:rFonts w:ascii="Times New Roman" w:hAnsi="Times New Roman" w:eastAsia="仿宋_GB2312"/>
          <w:b/>
          <w:bCs/>
          <w:color w:val="000000"/>
          <w:kern w:val="2"/>
          <w:sz w:val="32"/>
          <w:szCs w:val="32"/>
          <w:lang w:bidi="ar"/>
        </w:rPr>
        <w:t>/</w:t>
      </w:r>
      <w:r>
        <w:rPr>
          <w:rFonts w:hint="default" w:ascii="Times New Roman" w:hAnsi="Times New Roman" w:eastAsia="仿宋_GB2312"/>
          <w:b/>
          <w:bCs/>
          <w:color w:val="000000"/>
          <w:kern w:val="2"/>
          <w:sz w:val="32"/>
          <w:szCs w:val="32"/>
          <w:lang w:bidi="ar"/>
        </w:rPr>
        <w:t>机构进行了港股通业务相关投资者教育知识宣讲，本人</w:t>
      </w:r>
      <w:r>
        <w:rPr>
          <w:rFonts w:ascii="Times New Roman" w:hAnsi="Times New Roman" w:eastAsia="仿宋_GB2312"/>
          <w:b/>
          <w:bCs/>
          <w:color w:val="000000"/>
          <w:kern w:val="2"/>
          <w:sz w:val="32"/>
          <w:szCs w:val="32"/>
          <w:lang w:bidi="ar"/>
        </w:rPr>
        <w:t>/</w:t>
      </w:r>
      <w:r>
        <w:rPr>
          <w:rFonts w:hint="default" w:ascii="Times New Roman" w:hAnsi="Times New Roman" w:eastAsia="仿宋_GB2312"/>
          <w:b/>
          <w:bCs/>
          <w:color w:val="000000"/>
          <w:kern w:val="2"/>
          <w:sz w:val="32"/>
          <w:szCs w:val="32"/>
          <w:lang w:bidi="ar"/>
        </w:rPr>
        <w:t>机构已经充分了解港股通业务的相关知识，确认已知晓并理解以上风险揭示书的全部内容，愿意承担港股通交易的风险和损失。</w:t>
      </w:r>
    </w:p>
    <w:p w14:paraId="064CEF88">
      <w:pPr>
        <w:spacing w:line="560" w:lineRule="exact"/>
        <w:ind w:firstLine="640"/>
        <w:jc w:val="both"/>
        <w:rPr>
          <w:rFonts w:ascii="Times New Roman" w:hAnsi="Times New Roman" w:eastAsia="仿宋_GB2312"/>
          <w:color w:val="000000"/>
          <w:kern w:val="2"/>
          <w:sz w:val="32"/>
          <w:szCs w:val="32"/>
          <w:lang w:bidi="ar"/>
        </w:rPr>
      </w:pPr>
    </w:p>
    <w:p w14:paraId="3FDED8D2">
      <w:pPr>
        <w:wordWrap/>
        <w:spacing w:line="560" w:lineRule="exact"/>
        <w:ind w:firstLine="640" w:firstLineChars="0"/>
        <w:jc w:val="center"/>
        <w:rPr>
          <w:rFonts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val="en-US" w:eastAsia="zh-CN" w:bidi="ar"/>
        </w:rPr>
        <w:t xml:space="preserve">        </w:t>
      </w:r>
      <w:bookmarkStart w:id="0" w:name="_GoBack"/>
      <w:bookmarkEnd w:id="0"/>
      <w:r>
        <w:rPr>
          <w:rFonts w:hint="default" w:ascii="Times New Roman" w:hAnsi="Times New Roman" w:eastAsia="仿宋_GB2312"/>
          <w:color w:val="000000"/>
          <w:sz w:val="32"/>
          <w:szCs w:val="32"/>
          <w:lang w:bidi="ar"/>
        </w:rPr>
        <w:t xml:space="preserve">投资者： </w:t>
      </w:r>
      <w:r>
        <w:rPr>
          <w:rFonts w:ascii="Times New Roman" w:hAnsi="Times New Roman" w:eastAsia="仿宋_GB2312"/>
          <w:color w:val="000000"/>
          <w:sz w:val="32"/>
          <w:szCs w:val="32"/>
          <w:lang w:bidi="ar"/>
        </w:rPr>
        <w:t xml:space="preserve">                   </w:t>
      </w:r>
    </w:p>
    <w:p w14:paraId="08E23800">
      <w:pPr>
        <w:spacing w:line="560" w:lineRule="exact"/>
        <w:ind w:firstLine="640" w:firstLineChars="0"/>
        <w:jc w:val="right"/>
        <w:rPr>
          <w:rFonts w:ascii="Times New Roman" w:hAnsi="Times New Roman" w:eastAsia="仿宋_GB2312"/>
          <w:color w:val="000000"/>
          <w:sz w:val="32"/>
          <w:szCs w:val="32"/>
          <w:lang w:bidi="ar"/>
        </w:rPr>
      </w:pPr>
    </w:p>
    <w:p w14:paraId="1E9C7A03">
      <w:pPr>
        <w:spacing w:line="560" w:lineRule="exact"/>
        <w:ind w:firstLine="640" w:firstLineChars="0"/>
        <w:jc w:val="right"/>
        <w:rPr>
          <w:rFonts w:ascii="Times New Roman" w:hAnsi="Times New Roman" w:eastAsia="仿宋_GB2312"/>
          <w:color w:val="000000"/>
          <w:sz w:val="32"/>
          <w:szCs w:val="32"/>
          <w:lang w:bidi="ar"/>
        </w:rPr>
      </w:pPr>
      <w:r>
        <w:rPr>
          <w:rFonts w:hint="default" w:ascii="Times New Roman" w:hAnsi="Times New Roman" w:eastAsia="仿宋_GB2312"/>
          <w:color w:val="000000"/>
          <w:sz w:val="32"/>
          <w:szCs w:val="32"/>
          <w:lang w:bidi="ar"/>
        </w:rPr>
        <w:t>（自然人投资者签字</w:t>
      </w:r>
      <w:r>
        <w:rPr>
          <w:rFonts w:ascii="Times New Roman" w:hAnsi="Times New Roman" w:eastAsia="仿宋_GB2312"/>
          <w:color w:val="000000"/>
          <w:sz w:val="32"/>
          <w:szCs w:val="32"/>
          <w:lang w:bidi="ar"/>
        </w:rPr>
        <w:t>/</w:t>
      </w:r>
      <w:r>
        <w:rPr>
          <w:rFonts w:hint="default" w:ascii="Times New Roman" w:hAnsi="Times New Roman" w:eastAsia="仿宋_GB2312"/>
          <w:color w:val="000000"/>
          <w:sz w:val="32"/>
          <w:szCs w:val="32"/>
          <w:lang w:bidi="ar"/>
        </w:rPr>
        <w:t>非自然人投资者盖章）</w:t>
      </w:r>
    </w:p>
    <w:p w14:paraId="67EA16DD">
      <w:pPr>
        <w:spacing w:line="560" w:lineRule="exact"/>
        <w:ind w:firstLine="640" w:firstLineChars="0"/>
        <w:jc w:val="right"/>
        <w:rPr>
          <w:rFonts w:ascii="Times New Roman" w:hAnsi="Times New Roman" w:eastAsia="仿宋_GB2312"/>
          <w:color w:val="000000"/>
          <w:sz w:val="32"/>
          <w:szCs w:val="32"/>
          <w:lang w:bidi="ar"/>
        </w:rPr>
      </w:pPr>
    </w:p>
    <w:p w14:paraId="1EEC289C">
      <w:pPr>
        <w:spacing w:line="560" w:lineRule="exact"/>
        <w:ind w:right="0" w:rightChars="0" w:firstLine="640"/>
        <w:jc w:val="right"/>
        <w:rPr>
          <w:rFonts w:ascii="Times New Roman" w:hAnsi="Times New Roman" w:eastAsia="仿宋_GB2312"/>
          <w:color w:val="000000"/>
          <w:sz w:val="32"/>
          <w:szCs w:val="32"/>
          <w:lang w:bidi="ar"/>
        </w:rPr>
      </w:pPr>
      <w:r>
        <w:rPr>
          <w:rFonts w:hint="default" w:ascii="Times New Roman" w:hAnsi="Times New Roman" w:eastAsia="仿宋_GB2312"/>
          <w:color w:val="000000"/>
          <w:sz w:val="32"/>
          <w:szCs w:val="32"/>
          <w:lang w:bidi="ar"/>
        </w:rPr>
        <w:t>签署日期：</w:t>
      </w:r>
      <w:r>
        <w:rPr>
          <w:rFonts w:ascii="Times New Roman" w:hAnsi="Times New Roman" w:eastAsia="仿宋_GB2312"/>
          <w:color w:val="000000"/>
          <w:sz w:val="32"/>
          <w:szCs w:val="32"/>
          <w:lang w:bidi="ar"/>
        </w:rPr>
        <w:t xml:space="preserve">    </w:t>
      </w:r>
      <w:r>
        <w:rPr>
          <w:rFonts w:hint="default" w:ascii="Times New Roman" w:hAnsi="Times New Roman" w:eastAsia="仿宋_GB2312"/>
          <w:color w:val="000000"/>
          <w:sz w:val="32"/>
          <w:szCs w:val="32"/>
          <w:lang w:bidi="ar"/>
        </w:rPr>
        <w:t>年</w:t>
      </w:r>
      <w:r>
        <w:rPr>
          <w:rFonts w:ascii="Times New Roman" w:hAnsi="Times New Roman" w:eastAsia="仿宋_GB2312"/>
          <w:color w:val="000000"/>
          <w:sz w:val="32"/>
          <w:szCs w:val="32"/>
          <w:lang w:bidi="ar"/>
        </w:rPr>
        <w:t xml:space="preserve">  </w:t>
      </w:r>
      <w:r>
        <w:rPr>
          <w:rFonts w:hint="default" w:ascii="Times New Roman" w:hAnsi="Times New Roman" w:eastAsia="仿宋_GB2312"/>
          <w:color w:val="000000"/>
          <w:sz w:val="32"/>
          <w:szCs w:val="32"/>
          <w:lang w:bidi="ar"/>
        </w:rPr>
        <w:t>月</w:t>
      </w:r>
      <w:r>
        <w:rPr>
          <w:rFonts w:ascii="Times New Roman" w:hAnsi="Times New Roman" w:eastAsia="仿宋_GB2312"/>
          <w:color w:val="000000"/>
          <w:sz w:val="32"/>
          <w:szCs w:val="32"/>
          <w:lang w:bidi="ar"/>
        </w:rPr>
        <w:t xml:space="preserve">  </w:t>
      </w:r>
      <w:r>
        <w:rPr>
          <w:rFonts w:hint="default" w:ascii="Times New Roman" w:hAnsi="Times New Roman" w:eastAsia="仿宋_GB2312"/>
          <w:color w:val="000000"/>
          <w:sz w:val="32"/>
          <w:szCs w:val="32"/>
          <w:lang w:bidi="ar"/>
        </w:rPr>
        <w:t>日</w:t>
      </w:r>
    </w:p>
    <w:p w14:paraId="01D2AD14">
      <w:pPr>
        <w:spacing w:line="560" w:lineRule="exact"/>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005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0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3C0C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3C0C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43C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BE5363"/>
    <w:rsid w:val="0C8E3539"/>
    <w:rsid w:val="229952D6"/>
    <w:rsid w:val="34D52557"/>
    <w:rsid w:val="36397AA9"/>
    <w:rsid w:val="4DE12A17"/>
    <w:rsid w:val="531C2067"/>
    <w:rsid w:val="596771F9"/>
    <w:rsid w:val="6A730D04"/>
    <w:rsid w:val="7AD8CA21"/>
    <w:rsid w:val="7C7FEEE9"/>
    <w:rsid w:val="7DFF1069"/>
    <w:rsid w:val="7F3FE5CD"/>
    <w:rsid w:val="9CBE5363"/>
    <w:rsid w:val="DEE1CE0A"/>
    <w:rsid w:val="F5BFB034"/>
    <w:rsid w:val="FF293CD3"/>
    <w:rsid w:val="FFF6A250"/>
    <w:rsid w:val="FFFDF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6827</Words>
  <Characters>6862</Characters>
  <Lines>1</Lines>
  <Paragraphs>1</Paragraphs>
  <TotalTime>1</TotalTime>
  <ScaleCrop>false</ScaleCrop>
  <LinksUpToDate>false</LinksUpToDate>
  <CharactersWithSpaces>6890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2026-05-23T17:20:00Z</dcterms:created>
  <dcterms:modified xsi:type="dcterms:W3CDTF">2026-06-05T15:40:51Z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123C5CC999F548938842806410495B14_13</vt:lpwstr>
  </property>
  <property fmtid="{D5CDD505-2E9C-101B-9397-08002B2CF9AE}" pid="4" name="KSOTemplateDocerSaveRecord">
    <vt:lpwstr>eyJoZGlkIjoiNTU0ZmIwYTQ3NzlmZGUxZmU3Zjk0M2IyZTNmM2IxNjAiLCJ1c2VySWQiOiIxMDIzNDcxMjkxIn0=</vt:lpwstr>
  </property>
</Properties>
</file>