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DEB09">
      <w:pPr>
        <w:spacing w:line="720" w:lineRule="exact"/>
        <w:jc w:val="center"/>
        <w:rPr>
          <w:rFonts w:eastAsia="方正小标宋_GBK"/>
          <w:sz w:val="44"/>
          <w:szCs w:val="36"/>
        </w:rPr>
      </w:pPr>
      <w:r>
        <w:rPr>
          <w:rFonts w:hint="eastAsia" w:eastAsia="方正小标宋_GBK"/>
          <w:sz w:val="44"/>
          <w:szCs w:val="36"/>
        </w:rPr>
        <w:t>南京证券股份有限公司</w:t>
      </w:r>
    </w:p>
    <w:p w14:paraId="61B94137">
      <w:pPr>
        <w:spacing w:line="720" w:lineRule="exact"/>
        <w:jc w:val="center"/>
        <w:rPr>
          <w:rFonts w:eastAsia="方正小标宋_GBK"/>
          <w:sz w:val="44"/>
          <w:szCs w:val="36"/>
        </w:rPr>
      </w:pPr>
      <w:r>
        <w:rPr>
          <w:rFonts w:hint="eastAsia" w:eastAsia="方正小标宋_GBK"/>
          <w:sz w:val="44"/>
          <w:szCs w:val="36"/>
        </w:rPr>
        <w:t>深港通下港股通交易风险揭示书</w:t>
      </w:r>
    </w:p>
    <w:p w14:paraId="070CA47B">
      <w:pPr>
        <w:spacing w:line="560" w:lineRule="exact"/>
        <w:rPr>
          <w:rFonts w:eastAsia="方正仿宋_GBK"/>
          <w:color w:val="000000"/>
          <w:kern w:val="0"/>
          <w:sz w:val="30"/>
          <w:szCs w:val="30"/>
        </w:rPr>
      </w:pPr>
    </w:p>
    <w:p w14:paraId="262E8A4E">
      <w:pPr>
        <w:spacing w:line="560" w:lineRule="exact"/>
        <w:ind w:firstLine="0" w:firstLineChars="0"/>
        <w:rPr>
          <w:rFonts w:eastAsia="仿宋_GB2312"/>
          <w:color w:val="000000"/>
          <w:kern w:val="2"/>
          <w:sz w:val="32"/>
          <w:szCs w:val="32"/>
          <w:lang w:bidi="ar"/>
        </w:rPr>
      </w:pPr>
      <w:r>
        <w:rPr>
          <w:rFonts w:hint="default" w:eastAsia="仿宋_GB2312"/>
          <w:color w:val="000000"/>
          <w:kern w:val="2"/>
          <w:sz w:val="32"/>
          <w:szCs w:val="32"/>
          <w:lang w:bidi="ar"/>
        </w:rPr>
        <w:t>尊敬的港股通投资者：</w:t>
      </w:r>
    </w:p>
    <w:p w14:paraId="0181D806">
      <w:pPr>
        <w:spacing w:line="560" w:lineRule="exact"/>
        <w:ind w:firstLine="640" w:firstLineChars="200"/>
        <w:rPr>
          <w:rFonts w:eastAsia="仿宋_GB2312"/>
          <w:color w:val="000000"/>
          <w:kern w:val="2"/>
          <w:sz w:val="32"/>
          <w:szCs w:val="32"/>
          <w:lang w:bidi="ar"/>
        </w:rPr>
      </w:pPr>
      <w:r>
        <w:rPr>
          <w:rFonts w:hint="default" w:eastAsia="仿宋_GB2312"/>
          <w:color w:val="000000"/>
          <w:kern w:val="2"/>
          <w:sz w:val="32"/>
          <w:szCs w:val="32"/>
          <w:lang w:bidi="ar"/>
        </w:rPr>
        <w:t>本风险揭示书并不能揭示从事港股通交易的全部风险，您务必对此有清醒的认识，认真考虑是否参与港股通交易。在您决定参与港股通交易之前，请您务必认真阅读中国证监会《中国证券监督管理委员会香港证券及期货事务监察委员会联合公告》《内地与香港股票市场交易互联互通机制若干规定》《关于交易型开放式基金纳入互联互通相关安排的公告》、深圳证券交易所（以下简称“深交所”）《深圳证券交易所深港通业务实施办法》、中国证券登记结算有限责任公司（以下简称“中国结算”）《内地与香港股票市场交易互联互通机制登记、存管、结算业务实施细则》和本风险揭示书，并在本风险揭示书上签字确认。此风险揭示书以及您与本公司签署的《深港通下港股通交易委托代理协议》，共同构成您委托本公司参与港股通交易的协议。</w:t>
      </w:r>
    </w:p>
    <w:p w14:paraId="29DD9D95">
      <w:pPr>
        <w:spacing w:line="560" w:lineRule="exact"/>
        <w:ind w:firstLine="640" w:firstLineChars="200"/>
        <w:rPr>
          <w:rFonts w:hint="default" w:eastAsia="仿宋_GB2312"/>
          <w:color w:val="000000"/>
          <w:kern w:val="2"/>
          <w:sz w:val="32"/>
          <w:szCs w:val="32"/>
          <w:lang w:bidi="ar"/>
        </w:rPr>
      </w:pPr>
      <w:r>
        <w:rPr>
          <w:rFonts w:hint="default" w:eastAsia="仿宋_GB2312"/>
          <w:color w:val="000000"/>
          <w:kern w:val="2"/>
          <w:sz w:val="32"/>
          <w:szCs w:val="32"/>
          <w:lang w:bidi="ar"/>
        </w:rPr>
        <w:t>我们郑重提醒您：您如参与港股通交易，除了面临证券市场中的宏观经济风险、政策风险、上市公司经营风险、技术风险、不可抗力因素导致的风险等之外，还可能面临包括但不限于以下风险：</w:t>
      </w:r>
    </w:p>
    <w:p w14:paraId="5D82F060">
      <w:pPr>
        <w:spacing w:line="560" w:lineRule="exact"/>
        <w:ind w:firstLine="640" w:firstLineChars="200"/>
        <w:rPr>
          <w:rFonts w:eastAsia="仿宋_GB2312"/>
          <w:color w:val="000000"/>
          <w:kern w:val="2"/>
          <w:sz w:val="32"/>
          <w:szCs w:val="32"/>
          <w:lang w:bidi="ar"/>
        </w:rPr>
      </w:pPr>
      <w:r>
        <w:rPr>
          <w:rFonts w:hint="default" w:eastAsia="仿宋_GB2312"/>
          <w:color w:val="000000"/>
          <w:kern w:val="2"/>
          <w:sz w:val="32"/>
          <w:szCs w:val="32"/>
          <w:lang w:val="en-US" w:eastAsia="zh-CN" w:bidi="ar"/>
        </w:rPr>
        <w:t>一、</w:t>
      </w:r>
      <w:r>
        <w:rPr>
          <w:rFonts w:hint="default" w:eastAsia="仿宋_GB2312"/>
          <w:color w:val="000000"/>
          <w:kern w:val="2"/>
          <w:sz w:val="32"/>
          <w:szCs w:val="32"/>
          <w:lang w:bidi="ar"/>
        </w:rPr>
        <w:t>由于香港证券市场与内地证券市场存在诸多差异，您如参与港股通交易需遵守内地与香港的相关法律、行政法规、部门规章、规范性文件</w:t>
      </w:r>
      <w:r>
        <w:rPr>
          <w:rFonts w:hint="default" w:ascii="Times New Roman" w:hAnsi="Times New Roman" w:eastAsia="仿宋_GB2312" w:cs="Times New Roman"/>
          <w:color w:val="000000"/>
          <w:kern w:val="2"/>
          <w:sz w:val="32"/>
          <w:szCs w:val="32"/>
          <w:lang w:val="en-US" w:eastAsia="zh-CN" w:bidi="ar"/>
        </w:rPr>
        <w:t>（以下统称法律法规）</w:t>
      </w:r>
      <w:r>
        <w:rPr>
          <w:rFonts w:hint="default" w:eastAsia="仿宋_GB2312"/>
          <w:color w:val="000000"/>
          <w:kern w:val="2"/>
          <w:sz w:val="32"/>
          <w:szCs w:val="32"/>
          <w:lang w:bidi="ar"/>
        </w:rPr>
        <w:t>和业务规则，对香港证券市场有所了解；通过港股通参与香港证券市场交易与通过其他方式参与香港证券市场交易，也存在一定的差异。</w:t>
      </w:r>
    </w:p>
    <w:p w14:paraId="22C43BE2">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val="en-US" w:eastAsia="zh-CN" w:bidi="ar"/>
        </w:rPr>
        <w:t>二</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您可以通过港股通买卖的标的证券存在一定的范围限制，且港股通标的证券名单会动态调整，您应当关注最新的港股通标的证券名单。对于被调出的港股通标的证券，自调整之日起，您将不得再行买入。</w:t>
      </w:r>
    </w:p>
    <w:p w14:paraId="4D7273FD">
      <w:pPr>
        <w:spacing w:line="560" w:lineRule="exact"/>
        <w:ind w:firstLine="640" w:firstLineChars="200"/>
        <w:rPr>
          <w:rFonts w:eastAsia="仿宋_GB2312"/>
          <w:color w:val="000000"/>
          <w:kern w:val="2"/>
          <w:sz w:val="32"/>
          <w:szCs w:val="32"/>
          <w:lang w:bidi="ar"/>
        </w:rPr>
      </w:pPr>
      <w:r>
        <w:rPr>
          <w:rFonts w:hint="eastAsia" w:eastAsia="仿宋_GB2312"/>
          <w:b w:val="0"/>
          <w:bCs w:val="0"/>
          <w:color w:val="000000"/>
          <w:kern w:val="2"/>
          <w:sz w:val="32"/>
          <w:szCs w:val="32"/>
          <w:lang w:val="en-US" w:eastAsia="zh-CN" w:bidi="ar"/>
        </w:rPr>
        <w:t>三</w:t>
      </w:r>
      <w:r>
        <w:rPr>
          <w:rFonts w:hint="default" w:eastAsia="仿宋_GB2312"/>
          <w:b w:val="0"/>
          <w:bCs w:val="0"/>
          <w:color w:val="000000"/>
          <w:kern w:val="2"/>
          <w:sz w:val="32"/>
          <w:szCs w:val="32"/>
          <w:lang w:bidi="ar"/>
        </w:rPr>
        <w:t>、</w:t>
      </w:r>
      <w:r>
        <w:rPr>
          <w:rFonts w:hint="default" w:eastAsia="仿宋_GB2312"/>
          <w:bCs w:val="0"/>
          <w:color w:val="000000"/>
          <w:kern w:val="2"/>
          <w:sz w:val="32"/>
          <w:szCs w:val="32"/>
          <w:lang w:bidi="ar"/>
        </w:rPr>
        <w:t>香港联合交易所有限公司（以下简称“联交所”）市场股票及</w:t>
      </w:r>
      <w:r>
        <w:rPr>
          <w:rFonts w:eastAsia="仿宋_GB2312"/>
          <w:bCs w:val="0"/>
          <w:color w:val="000000"/>
          <w:kern w:val="2"/>
          <w:sz w:val="32"/>
          <w:szCs w:val="32"/>
          <w:lang w:bidi="ar"/>
        </w:rPr>
        <w:t>ETF</w:t>
      </w:r>
      <w:r>
        <w:rPr>
          <w:rFonts w:hint="default" w:eastAsia="仿宋_GB2312"/>
          <w:bCs w:val="0"/>
          <w:color w:val="000000"/>
          <w:kern w:val="2"/>
          <w:sz w:val="32"/>
          <w:szCs w:val="32"/>
          <w:lang w:bidi="ar"/>
        </w:rPr>
        <w:t>交易不设置涨跌幅限制</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港股通股票可能出现因公司基本面变化、第三方研究分析报告的观点、异常交易、做空机制等</w:t>
      </w:r>
      <w:r>
        <w:rPr>
          <w:rFonts w:hint="eastAsia" w:eastAsia="仿宋_GB2312"/>
          <w:color w:val="000000"/>
          <w:kern w:val="2"/>
          <w:sz w:val="32"/>
          <w:szCs w:val="32"/>
          <w:lang w:val="en-US" w:eastAsia="zh-CN" w:bidi="ar"/>
        </w:rPr>
        <w:t>情况</w:t>
      </w:r>
      <w:r>
        <w:rPr>
          <w:rFonts w:hint="default" w:eastAsia="仿宋_GB2312"/>
          <w:color w:val="000000"/>
          <w:kern w:val="2"/>
          <w:sz w:val="32"/>
          <w:szCs w:val="32"/>
          <w:lang w:bidi="ar"/>
        </w:rPr>
        <w:t>，</w:t>
      </w:r>
      <w:r>
        <w:rPr>
          <w:rFonts w:hint="eastAsia" w:eastAsia="仿宋_GB2312"/>
          <w:color w:val="000000"/>
          <w:kern w:val="2"/>
          <w:sz w:val="32"/>
          <w:szCs w:val="32"/>
          <w:lang w:val="en-US" w:eastAsia="zh-CN" w:bidi="ar"/>
        </w:rPr>
        <w:t>出现</w:t>
      </w:r>
      <w:r>
        <w:rPr>
          <w:rFonts w:hint="default" w:eastAsia="仿宋_GB2312"/>
          <w:color w:val="000000"/>
          <w:kern w:val="2"/>
          <w:sz w:val="32"/>
          <w:szCs w:val="32"/>
          <w:lang w:bidi="ar"/>
        </w:rPr>
        <w:t>股价较大波动尤其是上市初期股价大幅波动情形；部分港股通股票上市时间较短，且上市时自由流通股份较少，上市初期可能出现股价较大波动情形，限售股锁定期届满后还可能因大量减持出现股价较大波动情形；港股通股票可能因为上市公司注册地或者主营业务经营所在地的政策法律变化、境外市场联动</w:t>
      </w:r>
      <w:r>
        <w:rPr>
          <w:rFonts w:hint="eastAsia" w:eastAsia="仿宋_GB2312"/>
          <w:color w:val="000000"/>
          <w:kern w:val="2"/>
          <w:sz w:val="32"/>
          <w:szCs w:val="32"/>
          <w:lang w:val="en-US" w:eastAsia="zh-CN" w:bidi="ar"/>
        </w:rPr>
        <w:t>等情况，出现</w:t>
      </w:r>
      <w:r>
        <w:rPr>
          <w:rFonts w:hint="default" w:eastAsia="仿宋_GB2312"/>
          <w:color w:val="000000"/>
          <w:kern w:val="2"/>
          <w:sz w:val="32"/>
          <w:szCs w:val="32"/>
          <w:lang w:bidi="ar"/>
        </w:rPr>
        <w:t>股价较大波动</w:t>
      </w:r>
      <w:r>
        <w:rPr>
          <w:rFonts w:hint="eastAsia" w:eastAsia="仿宋_GB2312"/>
          <w:color w:val="000000"/>
          <w:kern w:val="2"/>
          <w:sz w:val="32"/>
          <w:szCs w:val="32"/>
          <w:lang w:val="en-US" w:eastAsia="zh-CN" w:bidi="ar"/>
        </w:rPr>
        <w:t>情形</w:t>
      </w:r>
      <w:r>
        <w:rPr>
          <w:rFonts w:hint="default" w:eastAsia="仿宋_GB2312"/>
          <w:color w:val="000000"/>
          <w:kern w:val="2"/>
          <w:sz w:val="32"/>
          <w:szCs w:val="32"/>
          <w:lang w:bidi="ar"/>
        </w:rPr>
        <w:t>；港股通</w:t>
      </w:r>
      <w:r>
        <w:rPr>
          <w:rFonts w:eastAsia="仿宋_GB2312"/>
          <w:color w:val="000000"/>
          <w:kern w:val="2"/>
          <w:sz w:val="32"/>
          <w:szCs w:val="32"/>
          <w:lang w:bidi="ar"/>
        </w:rPr>
        <w:t>ETF</w:t>
      </w:r>
      <w:r>
        <w:rPr>
          <w:rFonts w:hint="default" w:eastAsia="仿宋_GB2312"/>
          <w:color w:val="000000"/>
          <w:kern w:val="2"/>
          <w:sz w:val="32"/>
          <w:szCs w:val="32"/>
          <w:lang w:bidi="ar"/>
        </w:rPr>
        <w:t>可能因跟踪标的指数成份证券大幅波动、流动性不佳、受有关场外结构化产品影响、交易异常</w:t>
      </w:r>
      <w:r>
        <w:rPr>
          <w:rFonts w:hint="eastAsia" w:eastAsia="仿宋_GB2312"/>
          <w:color w:val="000000"/>
          <w:kern w:val="2"/>
          <w:sz w:val="32"/>
          <w:szCs w:val="32"/>
          <w:lang w:val="en-US" w:eastAsia="zh-CN" w:bidi="ar"/>
        </w:rPr>
        <w:t>等情况</w:t>
      </w:r>
      <w:r>
        <w:rPr>
          <w:rFonts w:hint="eastAsia" w:eastAsia="仿宋_GB2312"/>
          <w:color w:val="000000"/>
          <w:kern w:val="2"/>
          <w:sz w:val="32"/>
          <w:szCs w:val="32"/>
          <w:lang w:eastAsia="zh-CN" w:bidi="ar"/>
        </w:rPr>
        <w:t>，</w:t>
      </w:r>
      <w:r>
        <w:rPr>
          <w:rFonts w:hint="eastAsia" w:eastAsia="仿宋_GB2312"/>
          <w:color w:val="000000"/>
          <w:kern w:val="2"/>
          <w:sz w:val="32"/>
          <w:szCs w:val="32"/>
          <w:lang w:val="en-US" w:eastAsia="zh-CN" w:bidi="ar"/>
        </w:rPr>
        <w:t>出现</w:t>
      </w:r>
      <w:r>
        <w:rPr>
          <w:rFonts w:hint="default" w:eastAsia="仿宋_GB2312"/>
          <w:color w:val="000000"/>
          <w:kern w:val="2"/>
          <w:sz w:val="32"/>
          <w:szCs w:val="32"/>
          <w:lang w:bidi="ar"/>
        </w:rPr>
        <w:t>价格较大波动、折溢价率和跟踪误差偏离合理区间等情形。</w:t>
      </w:r>
    </w:p>
    <w:p w14:paraId="2F6D5C29">
      <w:pPr>
        <w:spacing w:line="560" w:lineRule="exact"/>
        <w:ind w:firstLine="640" w:firstLineChars="200"/>
        <w:rPr>
          <w:rFonts w:eastAsia="仿宋_GB2312"/>
          <w:color w:val="000000"/>
          <w:kern w:val="2"/>
          <w:sz w:val="32"/>
          <w:szCs w:val="32"/>
          <w:lang w:bidi="ar"/>
        </w:rPr>
      </w:pPr>
      <w:r>
        <w:rPr>
          <w:rFonts w:hint="eastAsia" w:eastAsia="仿宋_GB2312"/>
          <w:b w:val="0"/>
          <w:bCs w:val="0"/>
          <w:color w:val="000000"/>
          <w:kern w:val="2"/>
          <w:sz w:val="32"/>
          <w:szCs w:val="32"/>
          <w:lang w:val="en-US" w:eastAsia="zh-CN" w:bidi="ar"/>
        </w:rPr>
        <w:t>四</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部分港股通上市公司基本面变化大，股票价格低，可能存在大比例折价供股</w:t>
      </w:r>
      <w:r>
        <w:rPr>
          <w:rFonts w:hint="eastAsia" w:eastAsia="仿宋_GB2312"/>
          <w:color w:val="000000"/>
          <w:kern w:val="2"/>
          <w:sz w:val="32"/>
          <w:szCs w:val="32"/>
          <w:lang w:val="en-US" w:eastAsia="zh-CN" w:bidi="ar"/>
        </w:rPr>
        <w:t>或者</w:t>
      </w:r>
      <w:r>
        <w:rPr>
          <w:rFonts w:hint="default" w:eastAsia="仿宋_GB2312"/>
          <w:color w:val="000000"/>
          <w:kern w:val="2"/>
          <w:sz w:val="32"/>
          <w:szCs w:val="32"/>
          <w:lang w:bidi="ar"/>
        </w:rPr>
        <w:t>配股、频繁分拆合并股份，您持有的股份数量、股票面值可能发生大幅变化，您应当关注可能产生的风险。</w:t>
      </w:r>
    </w:p>
    <w:p w14:paraId="2BD4D75D">
      <w:pPr>
        <w:spacing w:line="560" w:lineRule="exact"/>
        <w:ind w:firstLine="640" w:firstLineChars="200"/>
        <w:rPr>
          <w:rFonts w:eastAsia="仿宋_GB2312"/>
          <w:color w:val="000000"/>
          <w:kern w:val="2"/>
          <w:sz w:val="32"/>
          <w:szCs w:val="32"/>
          <w:lang w:bidi="ar"/>
        </w:rPr>
      </w:pPr>
      <w:r>
        <w:rPr>
          <w:rFonts w:hint="eastAsia" w:eastAsia="仿宋_GB2312"/>
          <w:b w:val="0"/>
          <w:bCs w:val="0"/>
          <w:color w:val="000000"/>
          <w:kern w:val="2"/>
          <w:sz w:val="32"/>
          <w:szCs w:val="32"/>
          <w:lang w:val="en-US" w:eastAsia="zh-CN" w:bidi="ar"/>
        </w:rPr>
        <w:t>五</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部分港股通上市公司存在不同投票权安排，公司可能因存在控制权相对集中，或因某特定类别股份拥有的投票权利大于或优于普通股份拥有的投票权利等情形，而使普通投资者的投票权利及对公司日常经营等事务的影响力受到限制。</w:t>
      </w:r>
    </w:p>
    <w:p w14:paraId="518C88D0">
      <w:pPr>
        <w:spacing w:line="560" w:lineRule="exact"/>
        <w:ind w:firstLine="640" w:firstLineChars="200"/>
        <w:rPr>
          <w:rFonts w:eastAsia="仿宋_GB2312"/>
          <w:color w:val="000000"/>
          <w:kern w:val="2"/>
          <w:sz w:val="32"/>
          <w:szCs w:val="32"/>
          <w:lang w:bidi="ar"/>
        </w:rPr>
      </w:pPr>
      <w:r>
        <w:rPr>
          <w:rFonts w:hint="eastAsia" w:eastAsia="仿宋_GB2312"/>
          <w:b w:val="0"/>
          <w:bCs w:val="0"/>
          <w:color w:val="000000"/>
          <w:kern w:val="2"/>
          <w:sz w:val="32"/>
          <w:szCs w:val="32"/>
          <w:lang w:val="en-US" w:eastAsia="zh-CN" w:bidi="ar"/>
        </w:rPr>
        <w:t>六</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部分港股通生物科技公司</w:t>
      </w:r>
      <w:r>
        <w:rPr>
          <w:rFonts w:hint="eastAsia" w:eastAsia="仿宋_GB2312"/>
          <w:color w:val="000000"/>
          <w:kern w:val="2"/>
          <w:sz w:val="32"/>
          <w:szCs w:val="32"/>
          <w:lang w:eastAsia="zh-CN" w:bidi="ar"/>
        </w:rPr>
        <w:t>、</w:t>
      </w:r>
      <w:r>
        <w:rPr>
          <w:rFonts w:hint="eastAsia" w:eastAsia="仿宋_GB2312"/>
          <w:color w:val="000000"/>
          <w:kern w:val="2"/>
          <w:sz w:val="32"/>
          <w:szCs w:val="32"/>
          <w:lang w:val="en-US" w:eastAsia="zh-CN" w:bidi="ar"/>
        </w:rPr>
        <w:t>特专科技公司可能</w:t>
      </w:r>
      <w:r>
        <w:rPr>
          <w:rFonts w:hint="default" w:eastAsia="仿宋_GB2312"/>
          <w:color w:val="000000"/>
          <w:kern w:val="2"/>
          <w:sz w:val="32"/>
          <w:szCs w:val="32"/>
          <w:lang w:bidi="ar"/>
        </w:rPr>
        <w:t>存在公开发行并上市时尚未有收入，上市后仍无收入、持续亏损、无法进行利润分配等情形，您应当关注可能产生的风险。</w:t>
      </w:r>
    </w:p>
    <w:p w14:paraId="0CE2DED7">
      <w:pPr>
        <w:spacing w:line="560" w:lineRule="exact"/>
        <w:ind w:firstLine="640" w:firstLineChars="200"/>
        <w:rPr>
          <w:rFonts w:eastAsia="仿宋_GB2312"/>
          <w:color w:val="000000"/>
          <w:kern w:val="2"/>
          <w:sz w:val="32"/>
          <w:szCs w:val="32"/>
          <w:lang w:bidi="ar"/>
        </w:rPr>
      </w:pPr>
      <w:r>
        <w:rPr>
          <w:rFonts w:hint="eastAsia" w:eastAsia="仿宋_GB2312"/>
          <w:b w:val="0"/>
          <w:color w:val="000000"/>
          <w:kern w:val="2"/>
          <w:sz w:val="32"/>
          <w:szCs w:val="32"/>
          <w:lang w:val="en-US" w:eastAsia="zh-CN" w:bidi="ar"/>
        </w:rPr>
        <w:t>七</w:t>
      </w:r>
      <w:r>
        <w:rPr>
          <w:rFonts w:hint="default" w:eastAsia="仿宋_GB2312"/>
          <w:color w:val="000000"/>
          <w:kern w:val="2"/>
          <w:sz w:val="32"/>
          <w:szCs w:val="32"/>
          <w:lang w:bidi="ar"/>
        </w:rPr>
        <w:t>、部分港股通股票可能因为上市公司注册地、主营业务所在地</w:t>
      </w:r>
      <w:r>
        <w:rPr>
          <w:rFonts w:hint="eastAsia" w:eastAsia="仿宋_GB2312"/>
          <w:color w:val="000000"/>
          <w:kern w:val="2"/>
          <w:sz w:val="32"/>
          <w:szCs w:val="32"/>
          <w:lang w:val="en-US" w:eastAsia="zh-CN" w:bidi="ar"/>
        </w:rPr>
        <w:t>的</w:t>
      </w:r>
      <w:r>
        <w:rPr>
          <w:rFonts w:hint="default" w:eastAsia="仿宋_GB2312"/>
          <w:color w:val="000000"/>
          <w:kern w:val="2"/>
          <w:sz w:val="32"/>
          <w:szCs w:val="32"/>
          <w:lang w:bidi="ar"/>
        </w:rPr>
        <w:t>法律法规、语言或者文化习惯等与内地存在差异，导致投资者较难获取或者理解公司实际经营状况相关资讯。</w:t>
      </w:r>
    </w:p>
    <w:p w14:paraId="02E8F81E">
      <w:pPr>
        <w:spacing w:line="560" w:lineRule="exact"/>
        <w:ind w:firstLine="640" w:firstLineChars="200"/>
        <w:rPr>
          <w:rFonts w:eastAsia="仿宋_GB2312"/>
          <w:color w:val="000000"/>
          <w:kern w:val="2"/>
          <w:sz w:val="32"/>
          <w:szCs w:val="32"/>
          <w:lang w:bidi="ar"/>
        </w:rPr>
      </w:pPr>
      <w:r>
        <w:rPr>
          <w:rFonts w:hint="eastAsia" w:eastAsia="仿宋_GB2312"/>
          <w:b w:val="0"/>
          <w:bCs w:val="0"/>
          <w:color w:val="000000"/>
          <w:kern w:val="2"/>
          <w:sz w:val="32"/>
          <w:szCs w:val="32"/>
          <w:lang w:val="en-US" w:eastAsia="zh-CN" w:bidi="ar"/>
        </w:rPr>
        <w:t>八</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与内地证券市场相比，香港市场证券停牌制度存在一定差异，港股通标的证券可能出现长时间停牌现象，您应当关注可能产生的风险。</w:t>
      </w:r>
    </w:p>
    <w:p w14:paraId="6A0EF31A">
      <w:pPr>
        <w:spacing w:line="560" w:lineRule="exact"/>
        <w:ind w:firstLine="640" w:firstLineChars="200"/>
        <w:rPr>
          <w:rFonts w:eastAsia="仿宋_GB2312"/>
          <w:color w:val="000000"/>
          <w:kern w:val="2"/>
          <w:sz w:val="32"/>
          <w:szCs w:val="32"/>
          <w:lang w:bidi="ar"/>
        </w:rPr>
      </w:pPr>
      <w:r>
        <w:rPr>
          <w:rFonts w:hint="eastAsia" w:eastAsia="仿宋_GB2312"/>
          <w:b w:val="0"/>
          <w:bCs w:val="0"/>
          <w:color w:val="000000"/>
          <w:kern w:val="2"/>
          <w:sz w:val="32"/>
          <w:szCs w:val="32"/>
          <w:lang w:val="en-US" w:eastAsia="zh-CN" w:bidi="ar"/>
        </w:rPr>
        <w:t>九</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与内地证券市场相比，联交所市场股票交易没有退市风险警示、退市整理等安排，股票可能存在直接退市的风险。港股通股票一旦从联交所市场退市，您将面临无法继续通过港股通买卖相关股票的风险。</w:t>
      </w:r>
    </w:p>
    <w:p w14:paraId="63523A1F">
      <w:pPr>
        <w:spacing w:line="560" w:lineRule="exact"/>
        <w:ind w:firstLine="640" w:firstLineChars="200"/>
        <w:rPr>
          <w:rFonts w:eastAsia="仿宋_GB2312"/>
          <w:color w:val="000000"/>
          <w:kern w:val="2"/>
          <w:sz w:val="32"/>
          <w:szCs w:val="32"/>
          <w:lang w:bidi="ar"/>
        </w:rPr>
      </w:pPr>
      <w:r>
        <w:rPr>
          <w:rFonts w:hint="eastAsia" w:eastAsia="仿宋_GB2312"/>
          <w:b w:val="0"/>
          <w:bCs w:val="0"/>
          <w:color w:val="000000"/>
          <w:kern w:val="2"/>
          <w:sz w:val="32"/>
          <w:szCs w:val="32"/>
          <w:lang w:val="en-US" w:eastAsia="zh-CN" w:bidi="ar"/>
        </w:rPr>
        <w:t>十</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与内地证券市场相比，香港市场</w:t>
      </w:r>
      <w:r>
        <w:rPr>
          <w:rFonts w:eastAsia="仿宋_GB2312"/>
          <w:color w:val="000000"/>
          <w:kern w:val="2"/>
          <w:sz w:val="32"/>
          <w:szCs w:val="32"/>
          <w:lang w:bidi="ar"/>
        </w:rPr>
        <w:t>ETF</w:t>
      </w:r>
      <w:r>
        <w:rPr>
          <w:rFonts w:hint="default" w:eastAsia="仿宋_GB2312"/>
          <w:color w:val="000000"/>
          <w:kern w:val="2"/>
          <w:sz w:val="32"/>
          <w:szCs w:val="32"/>
          <w:lang w:bidi="ar"/>
        </w:rPr>
        <w:t>终止上市</w:t>
      </w:r>
      <w:r>
        <w:rPr>
          <w:rFonts w:hint="eastAsia" w:eastAsia="仿宋_GB2312"/>
          <w:color w:val="000000"/>
          <w:kern w:val="2"/>
          <w:sz w:val="32"/>
          <w:szCs w:val="32"/>
          <w:lang w:val="en-US" w:eastAsia="zh-CN" w:bidi="ar"/>
        </w:rPr>
        <w:t>或者</w:t>
      </w:r>
      <w:r>
        <w:rPr>
          <w:rFonts w:hint="default" w:eastAsia="仿宋_GB2312"/>
          <w:color w:val="000000"/>
          <w:kern w:val="2"/>
          <w:sz w:val="32"/>
          <w:szCs w:val="32"/>
          <w:lang w:bidi="ar"/>
        </w:rPr>
        <w:t>更换基金管理人等制度安排存在一定差异，港股通</w:t>
      </w:r>
      <w:r>
        <w:rPr>
          <w:rFonts w:eastAsia="仿宋_GB2312"/>
          <w:color w:val="000000"/>
          <w:kern w:val="2"/>
          <w:sz w:val="32"/>
          <w:szCs w:val="32"/>
          <w:lang w:bidi="ar"/>
        </w:rPr>
        <w:t>ETF</w:t>
      </w:r>
      <w:r>
        <w:rPr>
          <w:rFonts w:hint="default" w:eastAsia="仿宋_GB2312"/>
          <w:color w:val="000000"/>
          <w:kern w:val="2"/>
          <w:sz w:val="32"/>
          <w:szCs w:val="32"/>
          <w:lang w:bidi="ar"/>
        </w:rPr>
        <w:t>可能因基金管理人主动退出香港市场</w:t>
      </w:r>
      <w:r>
        <w:rPr>
          <w:rFonts w:hint="eastAsia" w:eastAsia="仿宋_GB2312"/>
          <w:color w:val="000000"/>
          <w:kern w:val="2"/>
          <w:sz w:val="32"/>
          <w:szCs w:val="32"/>
          <w:lang w:eastAsia="zh-CN" w:bidi="ar"/>
        </w:rPr>
        <w:t>，</w:t>
      </w:r>
      <w:r>
        <w:rPr>
          <w:rFonts w:hint="default" w:eastAsia="仿宋_GB2312"/>
          <w:color w:val="000000"/>
          <w:kern w:val="2"/>
          <w:sz w:val="32"/>
          <w:szCs w:val="32"/>
          <w:lang w:bidi="ar"/>
        </w:rPr>
        <w:t>终止上市或更换基金管理人，您应当关注可能产生的风险。</w:t>
      </w:r>
    </w:p>
    <w:p w14:paraId="24B19F78">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十</w:t>
      </w:r>
      <w:r>
        <w:rPr>
          <w:rFonts w:hint="eastAsia" w:eastAsia="仿宋_GB2312"/>
          <w:b w:val="0"/>
          <w:bCs w:val="0"/>
          <w:color w:val="000000"/>
          <w:kern w:val="2"/>
          <w:sz w:val="32"/>
          <w:szCs w:val="32"/>
          <w:lang w:val="en-US" w:eastAsia="zh-CN" w:bidi="ar"/>
        </w:rPr>
        <w:t>一</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港股通股票退市后，因香港中央结算有限公司（以下简称“香港结算”）可能无法比照退市前标准提供名义持有人服务，中国结算通过香港结算为投资者提供的退市股票名义持有人服务可能会受限，您应当关注可能产生的风险。</w:t>
      </w:r>
    </w:p>
    <w:p w14:paraId="13AA0368">
      <w:pPr>
        <w:spacing w:line="560" w:lineRule="exact"/>
        <w:ind w:firstLine="640" w:firstLineChars="200"/>
        <w:rPr>
          <w:rFonts w:eastAsia="仿宋_GB2312"/>
          <w:bCs w:val="0"/>
          <w:color w:val="000000"/>
          <w:kern w:val="2"/>
          <w:sz w:val="32"/>
          <w:szCs w:val="32"/>
          <w:lang w:bidi="ar"/>
        </w:rPr>
      </w:pPr>
      <w:r>
        <w:rPr>
          <w:rFonts w:hint="default" w:eastAsia="仿宋_GB2312"/>
          <w:b w:val="0"/>
          <w:bCs w:val="0"/>
          <w:color w:val="000000"/>
          <w:kern w:val="2"/>
          <w:sz w:val="32"/>
          <w:szCs w:val="32"/>
          <w:lang w:bidi="ar"/>
        </w:rPr>
        <w:t>十</w:t>
      </w:r>
      <w:r>
        <w:rPr>
          <w:rFonts w:hint="eastAsia" w:eastAsia="仿宋_GB2312"/>
          <w:b w:val="0"/>
          <w:bCs w:val="0"/>
          <w:color w:val="000000"/>
          <w:kern w:val="2"/>
          <w:sz w:val="32"/>
          <w:szCs w:val="32"/>
          <w:lang w:val="en-US" w:eastAsia="zh-CN" w:bidi="ar"/>
        </w:rPr>
        <w:t>二</w:t>
      </w:r>
      <w:r>
        <w:rPr>
          <w:rFonts w:hint="default" w:eastAsia="仿宋_GB2312"/>
          <w:b w:val="0"/>
          <w:bCs w:val="0"/>
          <w:color w:val="000000"/>
          <w:kern w:val="2"/>
          <w:sz w:val="32"/>
          <w:szCs w:val="32"/>
          <w:lang w:bidi="ar"/>
        </w:rPr>
        <w:t>、</w:t>
      </w:r>
      <w:r>
        <w:rPr>
          <w:rFonts w:hint="default" w:eastAsia="仿宋_GB2312"/>
          <w:bCs w:val="0"/>
          <w:color w:val="000000"/>
          <w:kern w:val="2"/>
          <w:sz w:val="32"/>
          <w:szCs w:val="32"/>
          <w:lang w:bidi="ar"/>
        </w:rPr>
        <w:t>与内地证券市场相比，香港市场</w:t>
      </w:r>
      <w:r>
        <w:rPr>
          <w:rFonts w:eastAsia="仿宋_GB2312"/>
          <w:bCs w:val="0"/>
          <w:color w:val="000000"/>
          <w:kern w:val="2"/>
          <w:sz w:val="32"/>
          <w:szCs w:val="32"/>
          <w:lang w:bidi="ar"/>
        </w:rPr>
        <w:t>ETF</w:t>
      </w:r>
      <w:r>
        <w:rPr>
          <w:rFonts w:hint="default" w:eastAsia="仿宋_GB2312"/>
          <w:bCs w:val="0"/>
          <w:color w:val="000000"/>
          <w:kern w:val="2"/>
          <w:sz w:val="32"/>
          <w:szCs w:val="32"/>
          <w:lang w:bidi="ar"/>
        </w:rPr>
        <w:t>发生清盘业务，将基金资产变现所得的资金派发给投资者后，投资者证券账户中相应基金份额的注销日与清盘资金发放日之间可能间隔较长时间，对清盘后尚未注销的基金份额，您应审慎评估其价值。</w:t>
      </w:r>
    </w:p>
    <w:p w14:paraId="5262C5D5">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十</w:t>
      </w:r>
      <w:r>
        <w:rPr>
          <w:rFonts w:hint="eastAsia" w:eastAsia="仿宋_GB2312"/>
          <w:b w:val="0"/>
          <w:bCs w:val="0"/>
          <w:color w:val="000000"/>
          <w:kern w:val="2"/>
          <w:sz w:val="32"/>
          <w:szCs w:val="32"/>
          <w:lang w:val="en-US" w:eastAsia="zh-CN" w:bidi="ar"/>
        </w:rPr>
        <w:t>三</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港股通业务实施每日额度限制。在联交所开市前时段，</w:t>
      </w:r>
      <w:r>
        <w:rPr>
          <w:rFonts w:hint="eastAsia" w:eastAsia="仿宋_GB2312"/>
          <w:color w:val="000000"/>
          <w:kern w:val="2"/>
          <w:sz w:val="32"/>
          <w:szCs w:val="32"/>
          <w:lang w:val="en-US" w:eastAsia="zh-CN" w:bidi="ar"/>
        </w:rPr>
        <w:t>港股通</w:t>
      </w:r>
      <w:r>
        <w:rPr>
          <w:rFonts w:hint="default" w:eastAsia="仿宋_GB2312"/>
          <w:color w:val="000000"/>
          <w:kern w:val="2"/>
          <w:sz w:val="32"/>
          <w:szCs w:val="32"/>
          <w:lang w:bidi="ar"/>
        </w:rPr>
        <w:t>当日额度使用完毕的，新增的买单申报将面临失败的风险；在联交所持续交易时段</w:t>
      </w:r>
      <w:r>
        <w:rPr>
          <w:rFonts w:hint="eastAsia" w:eastAsia="仿宋_GB2312"/>
          <w:color w:val="000000"/>
          <w:kern w:val="2"/>
          <w:sz w:val="32"/>
          <w:szCs w:val="32"/>
          <w:lang w:val="en-US" w:eastAsia="zh-CN" w:bidi="ar"/>
        </w:rPr>
        <w:t>或者</w:t>
      </w:r>
      <w:r>
        <w:rPr>
          <w:rFonts w:hint="default" w:eastAsia="仿宋_GB2312"/>
          <w:color w:val="000000"/>
          <w:kern w:val="2"/>
          <w:sz w:val="32"/>
          <w:szCs w:val="32"/>
          <w:lang w:bidi="ar"/>
        </w:rPr>
        <w:t>收市竞价交易时段，港股通当日额度使用完毕的，您将面临</w:t>
      </w:r>
      <w:r>
        <w:rPr>
          <w:rFonts w:hint="eastAsia" w:eastAsia="仿宋_GB2312"/>
          <w:color w:val="000000"/>
          <w:kern w:val="2"/>
          <w:sz w:val="32"/>
          <w:szCs w:val="32"/>
          <w:lang w:val="en-US" w:eastAsia="zh-CN" w:bidi="ar"/>
        </w:rPr>
        <w:t>当日</w:t>
      </w:r>
      <w:r>
        <w:rPr>
          <w:rFonts w:hint="default" w:eastAsia="仿宋_GB2312"/>
          <w:color w:val="000000"/>
          <w:kern w:val="2"/>
          <w:sz w:val="32"/>
          <w:szCs w:val="32"/>
          <w:lang w:bidi="ar"/>
        </w:rPr>
        <w:t>不能通过港股通进行买入交易的风险。</w:t>
      </w:r>
    </w:p>
    <w:p w14:paraId="6FE19143">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十</w:t>
      </w:r>
      <w:r>
        <w:rPr>
          <w:rFonts w:hint="eastAsia" w:eastAsia="仿宋_GB2312"/>
          <w:b w:val="0"/>
          <w:bCs w:val="0"/>
          <w:color w:val="000000"/>
          <w:kern w:val="2"/>
          <w:sz w:val="32"/>
          <w:szCs w:val="32"/>
          <w:lang w:val="en-US" w:eastAsia="zh-CN" w:bidi="ar"/>
        </w:rPr>
        <w:t>四</w:t>
      </w:r>
      <w:r>
        <w:rPr>
          <w:rFonts w:hint="default" w:eastAsia="仿宋_GB2312"/>
          <w:b w:val="0"/>
          <w:bCs w:val="0"/>
          <w:color w:val="000000"/>
          <w:kern w:val="2"/>
          <w:sz w:val="32"/>
          <w:szCs w:val="32"/>
          <w:lang w:bidi="ar"/>
        </w:rPr>
        <w:t>、</w:t>
      </w:r>
      <w:r>
        <w:rPr>
          <w:rFonts w:hint="default" w:eastAsia="仿宋_GB2312"/>
          <w:bCs w:val="0"/>
          <w:color w:val="000000"/>
          <w:kern w:val="2"/>
          <w:sz w:val="32"/>
          <w:szCs w:val="32"/>
          <w:lang w:bidi="ar"/>
        </w:rPr>
        <w:t>深港通交易日历优化正式实施后，</w:t>
      </w:r>
      <w:r>
        <w:rPr>
          <w:rFonts w:hint="default" w:eastAsia="仿宋_GB2312"/>
          <w:color w:val="000000"/>
          <w:kern w:val="2"/>
          <w:sz w:val="32"/>
          <w:szCs w:val="32"/>
          <w:lang w:bidi="ar"/>
        </w:rPr>
        <w:t>只有深港两地均为交易日的日期才为港股通交易日，具体以深交所证券交易服务公司在其指定网站公布的日期为准。</w:t>
      </w:r>
    </w:p>
    <w:p w14:paraId="0DE775AA">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十</w:t>
      </w:r>
      <w:r>
        <w:rPr>
          <w:rFonts w:hint="eastAsia" w:eastAsia="仿宋_GB2312"/>
          <w:b w:val="0"/>
          <w:bCs w:val="0"/>
          <w:color w:val="000000"/>
          <w:kern w:val="2"/>
          <w:sz w:val="32"/>
          <w:szCs w:val="32"/>
          <w:lang w:val="en-US" w:eastAsia="zh-CN" w:bidi="ar"/>
        </w:rPr>
        <w:t>五</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每个港股通交易日的交易时间包括开市前时段、持续交易时段和收市竞价交易时段，具体按联交所的规定执行。</w:t>
      </w:r>
    </w:p>
    <w:p w14:paraId="10A3F61C">
      <w:pPr>
        <w:spacing w:line="560" w:lineRule="exact"/>
        <w:ind w:firstLine="640" w:firstLineChars="200"/>
        <w:rPr>
          <w:rFonts w:eastAsia="仿宋_GB2312"/>
          <w:color w:val="000000"/>
          <w:kern w:val="2"/>
          <w:sz w:val="32"/>
          <w:szCs w:val="32"/>
          <w:lang w:bidi="ar"/>
        </w:rPr>
      </w:pPr>
      <w:r>
        <w:rPr>
          <w:rFonts w:hint="default" w:eastAsia="仿宋_GB2312"/>
          <w:color w:val="000000"/>
          <w:kern w:val="2"/>
          <w:sz w:val="32"/>
          <w:szCs w:val="32"/>
          <w:lang w:bidi="ar"/>
        </w:rPr>
        <w:t>圣诞前夕（</w:t>
      </w:r>
      <w:r>
        <w:rPr>
          <w:rFonts w:eastAsia="仿宋_GB2312"/>
          <w:color w:val="000000"/>
          <w:kern w:val="2"/>
          <w:sz w:val="32"/>
          <w:szCs w:val="32"/>
          <w:lang w:bidi="ar"/>
        </w:rPr>
        <w:t>12</w:t>
      </w:r>
      <w:r>
        <w:rPr>
          <w:rFonts w:hint="default" w:eastAsia="仿宋_GB2312"/>
          <w:color w:val="000000"/>
          <w:kern w:val="2"/>
          <w:sz w:val="32"/>
          <w:szCs w:val="32"/>
          <w:lang w:bidi="ar"/>
        </w:rPr>
        <w:t>月</w:t>
      </w:r>
      <w:r>
        <w:rPr>
          <w:rFonts w:eastAsia="仿宋_GB2312"/>
          <w:color w:val="000000"/>
          <w:kern w:val="2"/>
          <w:sz w:val="32"/>
          <w:szCs w:val="32"/>
          <w:lang w:bidi="ar"/>
        </w:rPr>
        <w:t>24</w:t>
      </w:r>
      <w:r>
        <w:rPr>
          <w:rFonts w:hint="default" w:eastAsia="仿宋_GB2312"/>
          <w:color w:val="000000"/>
          <w:kern w:val="2"/>
          <w:sz w:val="32"/>
          <w:szCs w:val="32"/>
          <w:lang w:bidi="ar"/>
        </w:rPr>
        <w:t>日）、元旦前夕（</w:t>
      </w:r>
      <w:r>
        <w:rPr>
          <w:rFonts w:eastAsia="仿宋_GB2312"/>
          <w:color w:val="000000"/>
          <w:kern w:val="2"/>
          <w:sz w:val="32"/>
          <w:szCs w:val="32"/>
          <w:lang w:bidi="ar"/>
        </w:rPr>
        <w:t>12</w:t>
      </w:r>
      <w:r>
        <w:rPr>
          <w:rFonts w:hint="default" w:eastAsia="仿宋_GB2312"/>
          <w:color w:val="000000"/>
          <w:kern w:val="2"/>
          <w:sz w:val="32"/>
          <w:szCs w:val="32"/>
          <w:lang w:bidi="ar"/>
        </w:rPr>
        <w:t>月</w:t>
      </w:r>
      <w:r>
        <w:rPr>
          <w:rFonts w:eastAsia="仿宋_GB2312"/>
          <w:color w:val="000000"/>
          <w:kern w:val="2"/>
          <w:sz w:val="32"/>
          <w:szCs w:val="32"/>
          <w:lang w:bidi="ar"/>
        </w:rPr>
        <w:t>31</w:t>
      </w:r>
      <w:r>
        <w:rPr>
          <w:rFonts w:hint="default" w:eastAsia="仿宋_GB2312"/>
          <w:color w:val="000000"/>
          <w:kern w:val="2"/>
          <w:sz w:val="32"/>
          <w:szCs w:val="32"/>
          <w:lang w:bidi="ar"/>
        </w:rPr>
        <w:t>日）或除夕日为港股通交易日的，港股通仅有半天交易，且当日为非交收日。</w:t>
      </w:r>
    </w:p>
    <w:p w14:paraId="6EB64FD3">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十</w:t>
      </w:r>
      <w:r>
        <w:rPr>
          <w:rFonts w:hint="eastAsia" w:eastAsia="仿宋_GB2312"/>
          <w:b w:val="0"/>
          <w:bCs w:val="0"/>
          <w:color w:val="000000"/>
          <w:kern w:val="2"/>
          <w:sz w:val="32"/>
          <w:szCs w:val="32"/>
          <w:lang w:val="en-US" w:eastAsia="zh-CN" w:bidi="ar"/>
        </w:rPr>
        <w:t>六</w:t>
      </w:r>
      <w:r>
        <w:rPr>
          <w:rFonts w:hint="default" w:eastAsia="仿宋_GB2312"/>
          <w:b w:val="0"/>
          <w:bCs w:val="0"/>
          <w:color w:val="000000"/>
          <w:kern w:val="2"/>
          <w:sz w:val="32"/>
          <w:szCs w:val="32"/>
          <w:lang w:bidi="ar"/>
        </w:rPr>
        <w:t>、</w:t>
      </w:r>
      <w:r>
        <w:rPr>
          <w:rFonts w:hint="eastAsia" w:eastAsia="仿宋_GB2312"/>
          <w:color w:val="000000"/>
          <w:kern w:val="2"/>
          <w:sz w:val="32"/>
          <w:szCs w:val="32"/>
          <w:lang w:val="en-US" w:eastAsia="zh-CN" w:bidi="ar"/>
        </w:rPr>
        <w:t>出现联交所认定的异常情况时</w:t>
      </w:r>
      <w:r>
        <w:rPr>
          <w:rFonts w:hint="default" w:eastAsia="仿宋_GB2312"/>
          <w:color w:val="000000"/>
          <w:kern w:val="2"/>
          <w:sz w:val="32"/>
          <w:szCs w:val="32"/>
          <w:lang w:bidi="ar"/>
        </w:rPr>
        <w:t>，联交所将可能</w:t>
      </w:r>
      <w:r>
        <w:rPr>
          <w:rFonts w:hint="eastAsia" w:eastAsia="仿宋_GB2312"/>
          <w:color w:val="000000"/>
          <w:kern w:val="2"/>
          <w:sz w:val="32"/>
          <w:szCs w:val="32"/>
          <w:lang w:val="en-US" w:eastAsia="zh-CN" w:bidi="ar"/>
        </w:rPr>
        <w:t>采取临时</w:t>
      </w:r>
      <w:r>
        <w:rPr>
          <w:rFonts w:hint="default" w:eastAsia="仿宋_GB2312"/>
          <w:color w:val="000000"/>
          <w:kern w:val="2"/>
          <w:sz w:val="32"/>
          <w:szCs w:val="32"/>
          <w:lang w:bidi="ar"/>
        </w:rPr>
        <w:t>停市</w:t>
      </w:r>
      <w:r>
        <w:rPr>
          <w:rFonts w:hint="eastAsia" w:eastAsia="仿宋_GB2312"/>
          <w:color w:val="000000"/>
          <w:kern w:val="2"/>
          <w:sz w:val="32"/>
          <w:szCs w:val="32"/>
          <w:lang w:eastAsia="zh-CN" w:bidi="ar"/>
        </w:rPr>
        <w:t>、</w:t>
      </w:r>
      <w:r>
        <w:rPr>
          <w:rFonts w:hint="eastAsia" w:eastAsia="仿宋_GB2312"/>
          <w:color w:val="000000"/>
          <w:kern w:val="2"/>
          <w:sz w:val="32"/>
          <w:szCs w:val="32"/>
          <w:lang w:val="en-US" w:eastAsia="zh-CN" w:bidi="ar"/>
        </w:rPr>
        <w:t>暂停接受部分或者全部港股通交易申报等措施</w:t>
      </w:r>
      <w:r>
        <w:rPr>
          <w:rFonts w:hint="default" w:eastAsia="仿宋_GB2312"/>
          <w:color w:val="000000"/>
          <w:kern w:val="2"/>
          <w:sz w:val="32"/>
          <w:szCs w:val="32"/>
          <w:lang w:bidi="ar"/>
        </w:rPr>
        <w:t>，您将面临期间无法进行港股通交易的风险。出现深交所证券交易服务公司认定的交易异常情况时，深交所证券交易服务公司将可能暂停提供部分或者全部港股通服务，您将面临在暂停服务期间无法进行港股通交易的风险。深交所证券交易服务公司及深交所对于发生交易异常情况及采取相应处置措施造成的损失，不承担民事赔偿责任，但存在重大过错的除外。</w:t>
      </w:r>
    </w:p>
    <w:p w14:paraId="56721283">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十</w:t>
      </w:r>
      <w:r>
        <w:rPr>
          <w:rFonts w:hint="eastAsia" w:eastAsia="仿宋_GB2312"/>
          <w:b w:val="0"/>
          <w:bCs w:val="0"/>
          <w:color w:val="000000"/>
          <w:kern w:val="2"/>
          <w:sz w:val="32"/>
          <w:szCs w:val="32"/>
          <w:lang w:val="en-US" w:eastAsia="zh-CN" w:bidi="ar"/>
        </w:rPr>
        <w:t>七</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您在交易时间内提交订单依据的港币买入参考汇率和卖出参考汇率，并不等于最终结算汇率。港股通交易日日终，中国结算深圳分公司进行净额换汇，将换汇成本按成交金额分摊至每笔交易，确定交易实际适用的结算汇率。</w:t>
      </w:r>
    </w:p>
    <w:p w14:paraId="18534B5A">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十</w:t>
      </w:r>
      <w:r>
        <w:rPr>
          <w:rFonts w:hint="eastAsia" w:eastAsia="仿宋_GB2312"/>
          <w:b w:val="0"/>
          <w:bCs w:val="0"/>
          <w:color w:val="000000"/>
          <w:kern w:val="2"/>
          <w:sz w:val="32"/>
          <w:szCs w:val="32"/>
          <w:lang w:val="en-US" w:eastAsia="zh-CN" w:bidi="ar"/>
        </w:rPr>
        <w:t>八</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您参与联交所自动对盘系统交易，在联交所开市前时段和收市竞价交易时段应当采用竞价限价盘委托，在联交所持续交易时段应当采用增强限价盘委托。</w:t>
      </w:r>
    </w:p>
    <w:p w14:paraId="353F4BAF">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十</w:t>
      </w:r>
      <w:r>
        <w:rPr>
          <w:rFonts w:hint="eastAsia" w:eastAsia="仿宋_GB2312"/>
          <w:b w:val="0"/>
          <w:bCs w:val="0"/>
          <w:color w:val="000000"/>
          <w:kern w:val="2"/>
          <w:sz w:val="32"/>
          <w:szCs w:val="32"/>
          <w:lang w:val="en-US" w:eastAsia="zh-CN" w:bidi="ar"/>
        </w:rPr>
        <w:t>九</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您持有的碎股只能通过联交所半自动对盘碎股交易系统卖出。</w:t>
      </w:r>
    </w:p>
    <w:p w14:paraId="4E65E207">
      <w:pPr>
        <w:spacing w:line="560" w:lineRule="exact"/>
        <w:ind w:firstLine="640" w:firstLineChars="200"/>
        <w:rPr>
          <w:rFonts w:eastAsia="仿宋_GB2312"/>
          <w:color w:val="000000"/>
          <w:kern w:val="2"/>
          <w:sz w:val="32"/>
          <w:szCs w:val="32"/>
          <w:lang w:bidi="ar"/>
        </w:rPr>
      </w:pPr>
      <w:r>
        <w:rPr>
          <w:rFonts w:hint="eastAsia" w:eastAsia="仿宋_GB2312"/>
          <w:b w:val="0"/>
          <w:bCs w:val="0"/>
          <w:color w:val="000000"/>
          <w:kern w:val="2"/>
          <w:sz w:val="32"/>
          <w:szCs w:val="32"/>
          <w:lang w:val="en-US" w:eastAsia="zh-CN" w:bidi="ar"/>
        </w:rPr>
        <w:t>二十</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港股通股票、港股通有并行买卖的</w:t>
      </w:r>
      <w:r>
        <w:rPr>
          <w:rFonts w:eastAsia="仿宋_GB2312"/>
          <w:color w:val="000000"/>
          <w:kern w:val="2"/>
          <w:sz w:val="32"/>
          <w:szCs w:val="32"/>
          <w:lang w:bidi="ar"/>
        </w:rPr>
        <w:t>ETF</w:t>
      </w:r>
      <w:r>
        <w:rPr>
          <w:rFonts w:hint="default" w:eastAsia="仿宋_GB2312"/>
          <w:color w:val="000000"/>
          <w:kern w:val="2"/>
          <w:sz w:val="32"/>
          <w:szCs w:val="32"/>
          <w:lang w:bidi="ar"/>
        </w:rPr>
        <w:t>实施分拆合并期间，港股通投资者持有的该证券只在临时代码单柜交易末日、临时代码与新代码并行交易末日由临时代码转换为新代码。临时代码与原代码交易单位不同，可能产生碎股，您应关注可能产生的风险。</w:t>
      </w:r>
    </w:p>
    <w:p w14:paraId="7B5B03E4">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二十</w:t>
      </w:r>
      <w:r>
        <w:rPr>
          <w:rFonts w:hint="eastAsia" w:eastAsia="仿宋_GB2312"/>
          <w:b w:val="0"/>
          <w:bCs w:val="0"/>
          <w:color w:val="000000"/>
          <w:kern w:val="2"/>
          <w:sz w:val="32"/>
          <w:szCs w:val="32"/>
          <w:lang w:val="en-US" w:eastAsia="zh-CN" w:bidi="ar"/>
        </w:rPr>
        <w:t>一</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港股通股票、港股通有并行买卖的</w:t>
      </w:r>
      <w:r>
        <w:rPr>
          <w:rFonts w:eastAsia="仿宋_GB2312"/>
          <w:color w:val="000000"/>
          <w:kern w:val="2"/>
          <w:sz w:val="32"/>
          <w:szCs w:val="32"/>
          <w:lang w:bidi="ar"/>
        </w:rPr>
        <w:t>ETF</w:t>
      </w:r>
      <w:r>
        <w:rPr>
          <w:rFonts w:hint="default" w:eastAsia="仿宋_GB2312"/>
          <w:color w:val="000000"/>
          <w:kern w:val="2"/>
          <w:sz w:val="32"/>
          <w:szCs w:val="32"/>
          <w:lang w:bidi="ar"/>
        </w:rPr>
        <w:t>变更交易单位时，在实施原代码和临时代码并行交易期间，根据有关港股通标的证券在境内的登记结算安排，港股通业务仅提供原代码的交易服务，暂不提供临时代码交易服务。临时代码与原代码交易单位不同可能产生碎股，您应关注可能产生的风险。</w:t>
      </w:r>
    </w:p>
    <w:p w14:paraId="629701D0">
      <w:pPr>
        <w:spacing w:line="560" w:lineRule="exact"/>
        <w:ind w:firstLine="640" w:firstLineChars="200"/>
        <w:rPr>
          <w:rFonts w:eastAsia="仿宋_GB2312"/>
          <w:color w:val="000000"/>
          <w:kern w:val="2"/>
          <w:sz w:val="32"/>
          <w:szCs w:val="32"/>
          <w:lang w:bidi="ar"/>
        </w:rPr>
      </w:pPr>
      <w:r>
        <w:rPr>
          <w:rFonts w:hint="default" w:eastAsia="仿宋_GB2312"/>
          <w:b w:val="0"/>
          <w:color w:val="000000"/>
          <w:kern w:val="2"/>
          <w:sz w:val="32"/>
          <w:szCs w:val="32"/>
          <w:lang w:bidi="ar"/>
        </w:rPr>
        <w:t>二十</w:t>
      </w:r>
      <w:r>
        <w:rPr>
          <w:rFonts w:hint="eastAsia" w:eastAsia="仿宋_GB2312"/>
          <w:b w:val="0"/>
          <w:color w:val="000000"/>
          <w:kern w:val="2"/>
          <w:sz w:val="32"/>
          <w:szCs w:val="32"/>
          <w:lang w:val="en-US" w:eastAsia="zh-CN" w:bidi="ar"/>
        </w:rPr>
        <w:t>二</w:t>
      </w:r>
      <w:r>
        <w:rPr>
          <w:rFonts w:hint="default" w:eastAsia="仿宋_GB2312"/>
          <w:b w:val="0"/>
          <w:color w:val="000000"/>
          <w:kern w:val="2"/>
          <w:sz w:val="32"/>
          <w:szCs w:val="32"/>
          <w:lang w:bidi="ar"/>
        </w:rPr>
        <w:t>、</w:t>
      </w:r>
      <w:r>
        <w:rPr>
          <w:rFonts w:hint="default" w:eastAsia="仿宋_GB2312"/>
          <w:color w:val="000000"/>
          <w:kern w:val="2"/>
          <w:sz w:val="32"/>
          <w:szCs w:val="32"/>
          <w:lang w:bidi="ar"/>
        </w:rPr>
        <w:t>深港通交易日历优化正式实施后，在港股通股票、港股通</w:t>
      </w:r>
      <w:r>
        <w:rPr>
          <w:rFonts w:eastAsia="仿宋_GB2312"/>
          <w:color w:val="000000"/>
          <w:kern w:val="2"/>
          <w:sz w:val="32"/>
          <w:szCs w:val="32"/>
          <w:lang w:bidi="ar"/>
        </w:rPr>
        <w:t>ETF</w:t>
      </w:r>
      <w:r>
        <w:rPr>
          <w:rFonts w:hint="default" w:eastAsia="仿宋_GB2312"/>
          <w:color w:val="000000"/>
          <w:kern w:val="2"/>
          <w:sz w:val="32"/>
          <w:szCs w:val="32"/>
          <w:lang w:bidi="ar"/>
        </w:rPr>
        <w:t>分拆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者</w:t>
      </w:r>
      <w:r>
        <w:rPr>
          <w:rFonts w:eastAsia="仿宋_GB2312"/>
          <w:color w:val="000000"/>
          <w:kern w:val="2"/>
          <w:sz w:val="32"/>
          <w:szCs w:val="32"/>
          <w:lang w:bidi="ar"/>
        </w:rPr>
        <w:t>ETF</w:t>
      </w:r>
      <w:r>
        <w:rPr>
          <w:rFonts w:hint="default" w:eastAsia="仿宋_GB2312"/>
          <w:color w:val="000000"/>
          <w:kern w:val="2"/>
          <w:sz w:val="32"/>
          <w:szCs w:val="32"/>
          <w:lang w:bidi="ar"/>
        </w:rPr>
        <w:t>的港股通交易申报；上述业务在非对称节假日期间，港股通股票、港股通</w:t>
      </w:r>
      <w:r>
        <w:rPr>
          <w:rFonts w:eastAsia="仿宋_GB2312"/>
          <w:color w:val="000000"/>
          <w:kern w:val="2"/>
          <w:sz w:val="32"/>
          <w:szCs w:val="32"/>
          <w:lang w:bidi="ar"/>
        </w:rPr>
        <w:t>ETF</w:t>
      </w:r>
      <w:r>
        <w:rPr>
          <w:rFonts w:hint="default" w:eastAsia="仿宋_GB2312"/>
          <w:color w:val="000000"/>
          <w:kern w:val="2"/>
          <w:sz w:val="32"/>
          <w:szCs w:val="32"/>
          <w:lang w:bidi="ar"/>
        </w:rPr>
        <w:t>取消分拆合并的，非对称节假日后第一个港股通交易日继续暂停接受该股票或者</w:t>
      </w:r>
      <w:r>
        <w:rPr>
          <w:rFonts w:eastAsia="仿宋_GB2312"/>
          <w:color w:val="000000"/>
          <w:kern w:val="2"/>
          <w:sz w:val="32"/>
          <w:szCs w:val="32"/>
          <w:lang w:bidi="ar"/>
        </w:rPr>
        <w:t>ETF</w:t>
      </w:r>
      <w:r>
        <w:rPr>
          <w:rFonts w:hint="default" w:eastAsia="仿宋_GB2312"/>
          <w:color w:val="000000"/>
          <w:kern w:val="2"/>
          <w:sz w:val="32"/>
          <w:szCs w:val="32"/>
          <w:lang w:bidi="ar"/>
        </w:rPr>
        <w:t>的港股通交易申报。</w:t>
      </w:r>
    </w:p>
    <w:p w14:paraId="72059A75">
      <w:pPr>
        <w:spacing w:line="560" w:lineRule="exact"/>
        <w:ind w:firstLine="640" w:firstLineChars="200"/>
        <w:rPr>
          <w:rFonts w:eastAsia="仿宋_GB2312"/>
          <w:color w:val="000000"/>
          <w:kern w:val="2"/>
          <w:sz w:val="32"/>
          <w:szCs w:val="32"/>
          <w:lang w:bidi="ar"/>
        </w:rPr>
      </w:pPr>
      <w:r>
        <w:rPr>
          <w:rFonts w:hint="default" w:eastAsia="仿宋_GB2312"/>
          <w:b w:val="0"/>
          <w:color w:val="000000"/>
          <w:kern w:val="2"/>
          <w:sz w:val="32"/>
          <w:szCs w:val="32"/>
          <w:lang w:bidi="ar"/>
        </w:rPr>
        <w:t>二十</w:t>
      </w:r>
      <w:r>
        <w:rPr>
          <w:rFonts w:hint="eastAsia" w:eastAsia="仿宋_GB2312"/>
          <w:b w:val="0"/>
          <w:color w:val="000000"/>
          <w:kern w:val="2"/>
          <w:sz w:val="32"/>
          <w:szCs w:val="32"/>
          <w:lang w:val="en-US" w:eastAsia="zh-CN" w:bidi="ar"/>
        </w:rPr>
        <w:t>三</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您当日买入的港股通标的证券，经确认成交后，在交收前即可卖出，您应当关注因此可能产生的风险。</w:t>
      </w:r>
    </w:p>
    <w:p w14:paraId="2494322E">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二十</w:t>
      </w:r>
      <w:r>
        <w:rPr>
          <w:rFonts w:hint="eastAsia" w:eastAsia="仿宋_GB2312"/>
          <w:b w:val="0"/>
          <w:bCs w:val="0"/>
          <w:color w:val="000000"/>
          <w:kern w:val="2"/>
          <w:sz w:val="32"/>
          <w:szCs w:val="32"/>
          <w:lang w:val="en-US" w:eastAsia="zh-CN" w:bidi="ar"/>
        </w:rPr>
        <w:t>四</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与内地证券市场相比，联交所在订单申报的最小交易价差、每手证券数量、申报最大限制等方面存在一定的差异，您应当关注因此可能产生的风险。</w:t>
      </w:r>
    </w:p>
    <w:p w14:paraId="1D385649">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二十</w:t>
      </w:r>
      <w:r>
        <w:rPr>
          <w:rFonts w:hint="eastAsia" w:eastAsia="仿宋_GB2312"/>
          <w:b w:val="0"/>
          <w:bCs w:val="0"/>
          <w:color w:val="000000"/>
          <w:kern w:val="2"/>
          <w:sz w:val="32"/>
          <w:szCs w:val="32"/>
          <w:lang w:val="en-US" w:eastAsia="zh-CN" w:bidi="ar"/>
        </w:rPr>
        <w:t>五</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港股通交易中若联交所与深交所证券交易服务公司之间的报盘系统或者通信链路出现故障，可能导致</w:t>
      </w:r>
      <w:r>
        <w:rPr>
          <w:rFonts w:eastAsia="仿宋_GB2312"/>
          <w:color w:val="000000"/>
          <w:kern w:val="2"/>
          <w:sz w:val="32"/>
          <w:szCs w:val="32"/>
          <w:lang w:bidi="ar"/>
        </w:rPr>
        <w:t>15</w:t>
      </w:r>
      <w:r>
        <w:rPr>
          <w:rFonts w:hint="default" w:eastAsia="仿宋_GB2312"/>
          <w:color w:val="000000"/>
          <w:kern w:val="2"/>
          <w:sz w:val="32"/>
          <w:szCs w:val="32"/>
          <w:lang w:bidi="ar"/>
        </w:rPr>
        <w:t>分钟以上不能申报和撤销申报，您应当关注因此可能产生的风险。</w:t>
      </w:r>
    </w:p>
    <w:p w14:paraId="6B43055D">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二十</w:t>
      </w:r>
      <w:r>
        <w:rPr>
          <w:rFonts w:hint="eastAsia" w:eastAsia="仿宋_GB2312"/>
          <w:b w:val="0"/>
          <w:bCs w:val="0"/>
          <w:color w:val="000000"/>
          <w:kern w:val="2"/>
          <w:sz w:val="32"/>
          <w:szCs w:val="32"/>
          <w:lang w:val="en-US" w:eastAsia="zh-CN" w:bidi="ar"/>
        </w:rPr>
        <w:t>六</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港股通标的证券交易不设置涨跌幅限制，但根据联交所业务规则，适用市场波动调节机制的港股通标的证券的买卖申报可能受到价格限制。您应当关注因此可能产生的风险。</w:t>
      </w:r>
    </w:p>
    <w:p w14:paraId="3A78E853">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二十</w:t>
      </w:r>
      <w:r>
        <w:rPr>
          <w:rFonts w:hint="eastAsia" w:eastAsia="仿宋_GB2312"/>
          <w:b w:val="0"/>
          <w:bCs w:val="0"/>
          <w:color w:val="000000"/>
          <w:kern w:val="2"/>
          <w:sz w:val="32"/>
          <w:szCs w:val="32"/>
          <w:lang w:val="en-US" w:eastAsia="zh-CN" w:bidi="ar"/>
        </w:rPr>
        <w:t>七</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对于适用收市竞价交易的港股通标的证券，根据联交所业务规则，收市竞价交易时段的买卖申报将受到价格限制，您应当关注因此可能产生的风险。</w:t>
      </w:r>
    </w:p>
    <w:p w14:paraId="313F550D">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二十</w:t>
      </w:r>
      <w:r>
        <w:rPr>
          <w:rFonts w:hint="eastAsia" w:eastAsia="仿宋_GB2312"/>
          <w:b w:val="0"/>
          <w:bCs w:val="0"/>
          <w:color w:val="000000"/>
          <w:kern w:val="2"/>
          <w:sz w:val="32"/>
          <w:szCs w:val="32"/>
          <w:lang w:val="en-US" w:eastAsia="zh-CN" w:bidi="ar"/>
        </w:rPr>
        <w:t>八</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对于适用开市前时段的港股通标的证券，根据联交所业务规则，开市前时段的买卖申报将受到价格限制，您应当关注因此可能产生的风险。</w:t>
      </w:r>
    </w:p>
    <w:p w14:paraId="3B3E29CB">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二十</w:t>
      </w:r>
      <w:r>
        <w:rPr>
          <w:rFonts w:hint="eastAsia" w:eastAsia="仿宋_GB2312"/>
          <w:b w:val="0"/>
          <w:bCs w:val="0"/>
          <w:color w:val="000000"/>
          <w:kern w:val="2"/>
          <w:sz w:val="32"/>
          <w:szCs w:val="32"/>
          <w:lang w:val="en-US" w:eastAsia="zh-CN" w:bidi="ar"/>
        </w:rPr>
        <w:t>九</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您通过港股通业务获得的香港证券市场免费一档行情，与付费方式获得的行情相比，在刷新频率、档位显示等方面存在差异，您应当充分关注依此进行投资决策的风险。</w:t>
      </w:r>
    </w:p>
    <w:p w14:paraId="0943DE53">
      <w:pPr>
        <w:spacing w:line="560" w:lineRule="exact"/>
        <w:ind w:firstLine="640" w:firstLineChars="200"/>
        <w:rPr>
          <w:rFonts w:eastAsia="仿宋_GB2312"/>
          <w:color w:val="000000"/>
          <w:kern w:val="2"/>
          <w:sz w:val="32"/>
          <w:szCs w:val="32"/>
          <w:lang w:bidi="ar"/>
        </w:rPr>
      </w:pPr>
      <w:r>
        <w:rPr>
          <w:rFonts w:hint="eastAsia" w:eastAsia="仿宋_GB2312"/>
          <w:b w:val="0"/>
          <w:bCs w:val="0"/>
          <w:color w:val="000000"/>
          <w:kern w:val="2"/>
          <w:sz w:val="32"/>
          <w:szCs w:val="32"/>
          <w:lang w:val="en-US" w:eastAsia="zh-CN" w:bidi="ar"/>
        </w:rPr>
        <w:t>三十</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在香港证券市场，证券价格上涨时，证券报价屏幕上显示的颜色为绿色，下跌时则为红色，与内地证券市场存在差异。但是，不同的行情软件商提供的行情走势颜色可以重新设定，您在使用行情软件时，应当仔细检查软件的参数设置，避免惯性思维带来的风险。</w:t>
      </w:r>
    </w:p>
    <w:p w14:paraId="7A3CC19B">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三十</w:t>
      </w:r>
      <w:r>
        <w:rPr>
          <w:rFonts w:hint="eastAsia" w:eastAsia="仿宋_GB2312"/>
          <w:b w:val="0"/>
          <w:bCs w:val="0"/>
          <w:color w:val="000000"/>
          <w:kern w:val="2"/>
          <w:sz w:val="32"/>
          <w:szCs w:val="32"/>
          <w:lang w:val="en-US" w:eastAsia="zh-CN" w:bidi="ar"/>
        </w:rPr>
        <w:t>一</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您因港股通标的证券权益分派、转换、收购等情形或者异常情况，所取得的港股通标的证券以外的联交所上市证券，</w:t>
      </w:r>
      <w:r>
        <w:rPr>
          <w:rFonts w:hint="eastAsia" w:eastAsia="仿宋_GB2312"/>
          <w:color w:val="000000"/>
          <w:kern w:val="2"/>
          <w:sz w:val="32"/>
          <w:szCs w:val="32"/>
          <w:lang w:val="en-US" w:eastAsia="zh-CN" w:bidi="ar"/>
        </w:rPr>
        <w:t>可以</w:t>
      </w:r>
      <w:r>
        <w:rPr>
          <w:rFonts w:hint="default" w:eastAsia="仿宋_GB2312"/>
          <w:color w:val="000000"/>
          <w:kern w:val="2"/>
          <w:sz w:val="32"/>
          <w:szCs w:val="32"/>
          <w:lang w:bidi="ar"/>
        </w:rPr>
        <w:t>通过港股通卖出，但不得买入，深交所另有规定的除外；因港股通股票权益分派或者转换等情形取得的联交所上市股票的认购权利在联交所上市的，可以通过港股通卖出，但不得买入，也不得行权；因港股通标的证券权益分派、转换或者收购等所取得的非联交所上市证券，可以享有相关权益，但不得通过港股通买入</w:t>
      </w:r>
      <w:r>
        <w:rPr>
          <w:rFonts w:hint="eastAsia" w:eastAsia="仿宋_GB2312"/>
          <w:color w:val="000000"/>
          <w:kern w:val="2"/>
          <w:sz w:val="32"/>
          <w:szCs w:val="32"/>
          <w:lang w:val="en-US" w:eastAsia="zh-CN" w:bidi="ar"/>
        </w:rPr>
        <w:t>或者</w:t>
      </w:r>
      <w:r>
        <w:rPr>
          <w:rFonts w:hint="default" w:eastAsia="仿宋_GB2312"/>
          <w:color w:val="000000"/>
          <w:kern w:val="2"/>
          <w:sz w:val="32"/>
          <w:szCs w:val="32"/>
          <w:lang w:bidi="ar"/>
        </w:rPr>
        <w:t>卖出。</w:t>
      </w:r>
    </w:p>
    <w:p w14:paraId="13E075FB">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三十</w:t>
      </w:r>
      <w:r>
        <w:rPr>
          <w:rFonts w:hint="eastAsia" w:eastAsia="仿宋_GB2312"/>
          <w:b w:val="0"/>
          <w:bCs w:val="0"/>
          <w:color w:val="000000"/>
          <w:kern w:val="2"/>
          <w:sz w:val="32"/>
          <w:szCs w:val="32"/>
          <w:lang w:val="en-US" w:eastAsia="zh-CN" w:bidi="ar"/>
        </w:rPr>
        <w:t>二</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香港证券市场与内地证券市场在证券资金的交收期安排上存在差异，港股通交易的交收期为</w:t>
      </w:r>
      <w:r>
        <w:rPr>
          <w:rFonts w:eastAsia="仿宋_GB2312"/>
          <w:color w:val="000000"/>
          <w:kern w:val="2"/>
          <w:sz w:val="32"/>
          <w:szCs w:val="32"/>
          <w:lang w:bidi="ar"/>
        </w:rPr>
        <w:t>T+2</w:t>
      </w:r>
      <w:r>
        <w:rPr>
          <w:rFonts w:hint="default" w:eastAsia="仿宋_GB2312"/>
          <w:color w:val="000000"/>
          <w:kern w:val="2"/>
          <w:sz w:val="32"/>
          <w:szCs w:val="32"/>
          <w:lang w:bidi="ar"/>
        </w:rPr>
        <w:t>日（只有深港两地均为交收日的日期才为港股通交收日）。若您卖出证券，在交收完成前仍享有该证券的权益。若您买入证券，在交收完成后才享有该证券的权益。同时，港股通交易的交收可能因香港出现台风或黑色暴雨等发生延迟交收。</w:t>
      </w:r>
    </w:p>
    <w:p w14:paraId="3C078B15">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三十</w:t>
      </w:r>
      <w:r>
        <w:rPr>
          <w:rFonts w:hint="eastAsia" w:eastAsia="仿宋_GB2312"/>
          <w:b w:val="0"/>
          <w:bCs w:val="0"/>
          <w:color w:val="000000"/>
          <w:kern w:val="2"/>
          <w:sz w:val="32"/>
          <w:szCs w:val="32"/>
          <w:lang w:val="en-US" w:eastAsia="zh-CN" w:bidi="ar"/>
        </w:rPr>
        <w:t>三</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您暂不能</w:t>
      </w:r>
      <w:r>
        <w:rPr>
          <w:rFonts w:hint="eastAsia" w:eastAsia="仿宋_GB2312"/>
          <w:color w:val="000000"/>
          <w:kern w:val="2"/>
          <w:sz w:val="32"/>
          <w:szCs w:val="32"/>
          <w:lang w:val="en-US" w:eastAsia="zh-CN" w:bidi="ar"/>
        </w:rPr>
        <w:t>通过港股通业务</w:t>
      </w:r>
      <w:r>
        <w:rPr>
          <w:rFonts w:hint="default" w:eastAsia="仿宋_GB2312"/>
          <w:color w:val="000000"/>
          <w:kern w:val="2"/>
          <w:sz w:val="32"/>
          <w:szCs w:val="32"/>
          <w:lang w:bidi="ar"/>
        </w:rPr>
        <w:t>参与新股发行认购、超额供股和超额公开配售，以及</w:t>
      </w:r>
      <w:r>
        <w:rPr>
          <w:rFonts w:eastAsia="仿宋_GB2312"/>
          <w:color w:val="000000"/>
          <w:kern w:val="2"/>
          <w:sz w:val="32"/>
          <w:szCs w:val="32"/>
          <w:lang w:bidi="ar"/>
        </w:rPr>
        <w:t>ETF</w:t>
      </w:r>
      <w:r>
        <w:rPr>
          <w:rFonts w:hint="default" w:eastAsia="仿宋_GB2312"/>
          <w:color w:val="000000"/>
          <w:kern w:val="2"/>
          <w:sz w:val="32"/>
          <w:szCs w:val="32"/>
          <w:lang w:bidi="ar"/>
        </w:rPr>
        <w:t>发行认购和申购赎回。</w:t>
      </w:r>
    </w:p>
    <w:p w14:paraId="4CBA60AA">
      <w:pPr>
        <w:spacing w:line="560" w:lineRule="exact"/>
        <w:ind w:firstLine="640" w:firstLineChars="200"/>
        <w:rPr>
          <w:rFonts w:eastAsia="仿宋_GB2312"/>
          <w:color w:val="000000"/>
          <w:kern w:val="2"/>
          <w:sz w:val="32"/>
          <w:szCs w:val="32"/>
          <w:lang w:bidi="ar"/>
        </w:rPr>
      </w:pPr>
      <w:r>
        <w:rPr>
          <w:rFonts w:hint="default" w:eastAsia="仿宋_GB2312"/>
          <w:b w:val="0"/>
          <w:color w:val="000000"/>
          <w:kern w:val="2"/>
          <w:sz w:val="32"/>
          <w:szCs w:val="32"/>
          <w:lang w:bidi="ar"/>
        </w:rPr>
        <w:t>三十</w:t>
      </w:r>
      <w:r>
        <w:rPr>
          <w:rFonts w:hint="eastAsia" w:eastAsia="仿宋_GB2312"/>
          <w:b w:val="0"/>
          <w:color w:val="000000"/>
          <w:kern w:val="2"/>
          <w:sz w:val="32"/>
          <w:szCs w:val="32"/>
          <w:lang w:val="en-US" w:eastAsia="zh-CN" w:bidi="ar"/>
        </w:rPr>
        <w:t>四</w:t>
      </w:r>
      <w:r>
        <w:rPr>
          <w:rFonts w:hint="default" w:eastAsia="仿宋_GB2312"/>
          <w:b w:val="0"/>
          <w:color w:val="000000"/>
          <w:kern w:val="2"/>
          <w:sz w:val="32"/>
          <w:szCs w:val="32"/>
          <w:lang w:bidi="ar"/>
        </w:rPr>
        <w:t>、</w:t>
      </w:r>
      <w:r>
        <w:rPr>
          <w:rFonts w:hint="default" w:eastAsia="仿宋_GB2312"/>
          <w:color w:val="000000"/>
          <w:kern w:val="2"/>
          <w:sz w:val="32"/>
          <w:szCs w:val="32"/>
          <w:lang w:bidi="ar"/>
        </w:rPr>
        <w:t>深港通交易日历优化正式实施后，港股通股票、港股通</w:t>
      </w:r>
      <w:r>
        <w:rPr>
          <w:rFonts w:eastAsia="仿宋_GB2312"/>
          <w:color w:val="000000"/>
          <w:kern w:val="2"/>
          <w:sz w:val="32"/>
          <w:szCs w:val="32"/>
          <w:lang w:bidi="ar"/>
        </w:rPr>
        <w:t>ETF</w:t>
      </w:r>
      <w:r>
        <w:rPr>
          <w:rFonts w:hint="default" w:eastAsia="仿宋_GB2312"/>
          <w:color w:val="000000"/>
          <w:kern w:val="2"/>
          <w:sz w:val="32"/>
          <w:szCs w:val="32"/>
          <w:lang w:bidi="ar"/>
        </w:rPr>
        <w:t>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14:paraId="7B7DA720">
      <w:pPr>
        <w:spacing w:line="560" w:lineRule="exact"/>
        <w:ind w:firstLine="640" w:firstLineChars="200"/>
        <w:rPr>
          <w:rFonts w:eastAsia="仿宋_GB2312"/>
          <w:color w:val="000000"/>
          <w:kern w:val="2"/>
          <w:sz w:val="32"/>
          <w:szCs w:val="32"/>
          <w:lang w:bidi="ar"/>
        </w:rPr>
      </w:pPr>
      <w:r>
        <w:rPr>
          <w:rFonts w:hint="default" w:eastAsia="仿宋_GB2312"/>
          <w:b w:val="0"/>
          <w:color w:val="000000"/>
          <w:kern w:val="2"/>
          <w:sz w:val="32"/>
          <w:szCs w:val="32"/>
          <w:lang w:bidi="ar"/>
        </w:rPr>
        <w:t>三十</w:t>
      </w:r>
      <w:r>
        <w:rPr>
          <w:rFonts w:hint="eastAsia" w:eastAsia="仿宋_GB2312"/>
          <w:b w:val="0"/>
          <w:color w:val="000000"/>
          <w:kern w:val="2"/>
          <w:sz w:val="32"/>
          <w:szCs w:val="32"/>
          <w:lang w:val="en-US" w:eastAsia="zh-CN" w:bidi="ar"/>
        </w:rPr>
        <w:t>五</w:t>
      </w:r>
      <w:r>
        <w:rPr>
          <w:rFonts w:hint="default" w:eastAsia="仿宋_GB2312"/>
          <w:b w:val="0"/>
          <w:color w:val="000000"/>
          <w:kern w:val="2"/>
          <w:sz w:val="32"/>
          <w:szCs w:val="32"/>
          <w:lang w:bidi="ar"/>
        </w:rPr>
        <w:t>、</w:t>
      </w:r>
      <w:r>
        <w:rPr>
          <w:rFonts w:hint="default" w:eastAsia="仿宋_GB2312"/>
          <w:color w:val="000000"/>
          <w:kern w:val="2"/>
          <w:sz w:val="32"/>
          <w:szCs w:val="32"/>
          <w:lang w:bidi="ar"/>
        </w:rPr>
        <w:t>对于在联交所上市公司的供股业务，中国结算将在境内申报截止日日终确定投资者账户供股权的有效申报数量，并记减有效申报的供股权。</w:t>
      </w:r>
    </w:p>
    <w:p w14:paraId="1CE85CD6">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三十</w:t>
      </w:r>
      <w:r>
        <w:rPr>
          <w:rFonts w:hint="eastAsia" w:eastAsia="仿宋_GB2312"/>
          <w:b w:val="0"/>
          <w:bCs w:val="0"/>
          <w:color w:val="000000"/>
          <w:kern w:val="2"/>
          <w:sz w:val="32"/>
          <w:szCs w:val="32"/>
          <w:lang w:val="en-US" w:eastAsia="zh-CN" w:bidi="ar"/>
        </w:rPr>
        <w:t>六</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中国结算在收到香港结算派发的联交所上市公司现金红利</w:t>
      </w:r>
      <w:r>
        <w:rPr>
          <w:rFonts w:hint="eastAsia" w:eastAsia="仿宋_GB2312"/>
          <w:color w:val="000000"/>
          <w:kern w:val="2"/>
          <w:sz w:val="32"/>
          <w:szCs w:val="32"/>
          <w:lang w:val="en-US" w:eastAsia="zh-CN" w:bidi="ar"/>
        </w:rPr>
        <w:t>或者</w:t>
      </w:r>
      <w:r>
        <w:rPr>
          <w:rFonts w:hint="default" w:eastAsia="仿宋_GB2312"/>
          <w:color w:val="000000"/>
          <w:kern w:val="2"/>
          <w:sz w:val="32"/>
          <w:szCs w:val="32"/>
          <w:lang w:bidi="ar"/>
        </w:rPr>
        <w:t>联交所上市</w:t>
      </w:r>
      <w:r>
        <w:rPr>
          <w:rFonts w:eastAsia="仿宋_GB2312"/>
          <w:color w:val="000000"/>
          <w:kern w:val="2"/>
          <w:sz w:val="32"/>
          <w:szCs w:val="32"/>
          <w:lang w:bidi="ar"/>
        </w:rPr>
        <w:t>ETF</w:t>
      </w:r>
      <w:r>
        <w:rPr>
          <w:rFonts w:hint="default" w:eastAsia="仿宋_GB2312"/>
          <w:color w:val="000000"/>
          <w:kern w:val="2"/>
          <w:sz w:val="32"/>
          <w:szCs w:val="32"/>
          <w:lang w:bidi="ar"/>
        </w:rPr>
        <w:t>收益分配后，需要按规则对外币红利资金进行换汇、清算、代扣代缴税款、发放等业务处理，您通过港股通业务获得的现金红利将会较香港市场有所延后。部分港股通股票红利派发可能存在要求投资者申报相关信息的情形，请投资者及时关注上市公司官方公告或者证券公司提示，并通过证券公司进行申报。</w:t>
      </w:r>
    </w:p>
    <w:p w14:paraId="6526ED2E">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三十</w:t>
      </w:r>
      <w:r>
        <w:rPr>
          <w:rFonts w:hint="eastAsia" w:eastAsia="仿宋_GB2312"/>
          <w:b w:val="0"/>
          <w:bCs w:val="0"/>
          <w:color w:val="000000"/>
          <w:kern w:val="2"/>
          <w:sz w:val="32"/>
          <w:szCs w:val="32"/>
          <w:lang w:val="en-US" w:eastAsia="zh-CN" w:bidi="ar"/>
        </w:rPr>
        <w:t>七</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对于在联交所上市公司派发的红股，中国结算在收到香港结算派发红股到账当日</w:t>
      </w:r>
      <w:r>
        <w:rPr>
          <w:rFonts w:hint="eastAsia" w:eastAsia="仿宋_GB2312"/>
          <w:color w:val="000000"/>
          <w:kern w:val="2"/>
          <w:sz w:val="32"/>
          <w:szCs w:val="32"/>
          <w:lang w:val="en-US" w:eastAsia="zh-CN" w:bidi="ar"/>
        </w:rPr>
        <w:t>或者</w:t>
      </w:r>
      <w:r>
        <w:rPr>
          <w:rFonts w:hint="default" w:eastAsia="仿宋_GB2312"/>
          <w:color w:val="000000"/>
          <w:kern w:val="2"/>
          <w:sz w:val="32"/>
          <w:szCs w:val="32"/>
          <w:lang w:bidi="ar"/>
        </w:rPr>
        <w:t>次日进行业务处理，相应红股可于处理日下一港股通交易日上市交易。您的红股可卖首日均较香港市场晚一个港股通交易日。</w:t>
      </w:r>
    </w:p>
    <w:p w14:paraId="49091259">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三十</w:t>
      </w:r>
      <w:r>
        <w:rPr>
          <w:rFonts w:hint="eastAsia" w:eastAsia="仿宋_GB2312"/>
          <w:b w:val="0"/>
          <w:bCs w:val="0"/>
          <w:color w:val="000000"/>
          <w:kern w:val="2"/>
          <w:sz w:val="32"/>
          <w:szCs w:val="32"/>
          <w:lang w:val="en-US" w:eastAsia="zh-CN" w:bidi="ar"/>
        </w:rPr>
        <w:t>八</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04C67847">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三十</w:t>
      </w:r>
      <w:r>
        <w:rPr>
          <w:rFonts w:hint="eastAsia" w:eastAsia="仿宋_GB2312"/>
          <w:b w:val="0"/>
          <w:bCs w:val="0"/>
          <w:color w:val="000000"/>
          <w:kern w:val="2"/>
          <w:sz w:val="32"/>
          <w:szCs w:val="32"/>
          <w:lang w:val="en-US" w:eastAsia="zh-CN" w:bidi="ar"/>
        </w:rPr>
        <w:t>九</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对于投资者账户中因联交所上市公司派发红股、供股权、公开配售权以及港股通标的证券分拆、合并业务产生的小于</w:t>
      </w:r>
      <w:r>
        <w:rPr>
          <w:rFonts w:eastAsia="仿宋_GB2312"/>
          <w:color w:val="000000"/>
          <w:kern w:val="2"/>
          <w:sz w:val="32"/>
          <w:szCs w:val="32"/>
          <w:lang w:bidi="ar"/>
        </w:rPr>
        <w:t>1</w:t>
      </w:r>
      <w:r>
        <w:rPr>
          <w:rFonts w:hint="default" w:eastAsia="仿宋_GB2312"/>
          <w:color w:val="000000"/>
          <w:kern w:val="2"/>
          <w:sz w:val="32"/>
          <w:szCs w:val="32"/>
          <w:lang w:bidi="ar"/>
        </w:rPr>
        <w:t>单位的零碎证券，中国结算进行舍尾处理。当香港结算发放的红股、供股权、公开配售权总数或分拆、合并证券数额大于投资者账户舍尾取整后的总数的，中国结算按照精确算法分配差额部分。</w:t>
      </w:r>
    </w:p>
    <w:p w14:paraId="74211B6A">
      <w:pPr>
        <w:spacing w:line="560" w:lineRule="exact"/>
        <w:ind w:firstLine="640" w:firstLineChars="200"/>
        <w:rPr>
          <w:rFonts w:eastAsia="仿宋_GB2312"/>
          <w:color w:val="000000"/>
          <w:kern w:val="2"/>
          <w:sz w:val="32"/>
          <w:szCs w:val="32"/>
          <w:lang w:bidi="ar"/>
        </w:rPr>
      </w:pPr>
      <w:r>
        <w:rPr>
          <w:rFonts w:hint="eastAsia" w:eastAsia="仿宋_GB2312"/>
          <w:b w:val="0"/>
          <w:bCs w:val="0"/>
          <w:color w:val="000000"/>
          <w:kern w:val="2"/>
          <w:sz w:val="32"/>
          <w:szCs w:val="32"/>
          <w:lang w:val="en-US" w:eastAsia="zh-CN" w:bidi="ar"/>
        </w:rPr>
        <w:t>四十</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由于香港市场的费用收取</w:t>
      </w:r>
      <w:r>
        <w:rPr>
          <w:rFonts w:hint="eastAsia" w:eastAsia="仿宋_GB2312"/>
          <w:color w:val="000000"/>
          <w:kern w:val="2"/>
          <w:sz w:val="32"/>
          <w:szCs w:val="32"/>
          <w:lang w:val="en-US" w:eastAsia="zh-CN" w:bidi="ar"/>
        </w:rPr>
        <w:t>或者</w:t>
      </w:r>
      <w:r>
        <w:rPr>
          <w:rFonts w:hint="default" w:eastAsia="仿宋_GB2312"/>
          <w:color w:val="000000"/>
          <w:kern w:val="2"/>
          <w:sz w:val="32"/>
          <w:szCs w:val="32"/>
          <w:lang w:bidi="ar"/>
        </w:rPr>
        <w:t>汇率的大幅波动等原因，可能会引起</w:t>
      </w:r>
      <w:r>
        <w:rPr>
          <w:rFonts w:hint="eastAsia" w:eastAsia="仿宋_GB2312"/>
          <w:color w:val="000000"/>
          <w:kern w:val="2"/>
          <w:sz w:val="32"/>
          <w:szCs w:val="32"/>
          <w:lang w:val="en-US" w:eastAsia="zh-CN" w:bidi="ar"/>
        </w:rPr>
        <w:t>您</w:t>
      </w:r>
      <w:r>
        <w:rPr>
          <w:rFonts w:hint="default" w:eastAsia="仿宋_GB2312"/>
          <w:color w:val="000000"/>
          <w:kern w:val="2"/>
          <w:sz w:val="32"/>
          <w:szCs w:val="32"/>
          <w:lang w:bidi="ar"/>
        </w:rPr>
        <w:t>账户的透支，您应当对账户内的余额进行关注。</w:t>
      </w:r>
    </w:p>
    <w:p w14:paraId="2A7B17A8">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四十</w:t>
      </w:r>
      <w:r>
        <w:rPr>
          <w:rFonts w:hint="eastAsia" w:eastAsia="仿宋_GB2312"/>
          <w:b w:val="0"/>
          <w:bCs w:val="0"/>
          <w:color w:val="000000"/>
          <w:kern w:val="2"/>
          <w:sz w:val="32"/>
          <w:szCs w:val="32"/>
          <w:lang w:val="en-US" w:eastAsia="zh-CN" w:bidi="ar"/>
        </w:rPr>
        <w:t>一</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香港结算因极端情况下无法交付证券对中国结算实施现金结算的，中国结算将参照香港结算的处理原则进行相应业务处理。</w:t>
      </w:r>
    </w:p>
    <w:p w14:paraId="1E1729D3">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四十</w:t>
      </w:r>
      <w:r>
        <w:rPr>
          <w:rFonts w:hint="eastAsia" w:eastAsia="仿宋_GB2312"/>
          <w:b w:val="0"/>
          <w:bCs w:val="0"/>
          <w:color w:val="000000"/>
          <w:kern w:val="2"/>
          <w:sz w:val="32"/>
          <w:szCs w:val="32"/>
          <w:lang w:val="en-US" w:eastAsia="zh-CN" w:bidi="ar"/>
        </w:rPr>
        <w:t>二</w:t>
      </w:r>
      <w:r>
        <w:rPr>
          <w:rFonts w:hint="default" w:eastAsia="仿宋_GB2312"/>
          <w:b w:val="0"/>
          <w:bCs w:val="0"/>
          <w:color w:val="000000"/>
          <w:kern w:val="2"/>
          <w:sz w:val="32"/>
          <w:szCs w:val="32"/>
          <w:lang w:bidi="ar"/>
        </w:rPr>
        <w:t>、</w:t>
      </w:r>
      <w:r>
        <w:rPr>
          <w:rFonts w:hint="default" w:eastAsia="仿宋_GB2312"/>
          <w:bCs w:val="0"/>
          <w:color w:val="000000"/>
          <w:kern w:val="2"/>
          <w:sz w:val="32"/>
          <w:szCs w:val="32"/>
          <w:lang w:bidi="ar"/>
        </w:rPr>
        <w:t>港股通境内结算实施分级结算原则。</w:t>
      </w:r>
      <w:r>
        <w:rPr>
          <w:rFonts w:hint="default" w:eastAsia="仿宋_GB2312"/>
          <w:color w:val="000000"/>
          <w:kern w:val="2"/>
          <w:sz w:val="32"/>
          <w:szCs w:val="32"/>
          <w:lang w:bidi="ar"/>
        </w:rPr>
        <w:t>您可能面临以下风险：</w:t>
      </w:r>
    </w:p>
    <w:p w14:paraId="2259729E">
      <w:pPr>
        <w:spacing w:line="560" w:lineRule="exact"/>
        <w:ind w:firstLine="640" w:firstLineChars="200"/>
        <w:rPr>
          <w:rFonts w:eastAsia="仿宋_GB2312"/>
          <w:color w:val="000000"/>
          <w:kern w:val="2"/>
          <w:sz w:val="32"/>
          <w:szCs w:val="32"/>
          <w:lang w:bidi="ar"/>
        </w:rPr>
      </w:pPr>
      <w:r>
        <w:rPr>
          <w:rFonts w:hint="default" w:eastAsia="仿宋_GB2312"/>
          <w:color w:val="000000"/>
          <w:kern w:val="2"/>
          <w:sz w:val="32"/>
          <w:szCs w:val="32"/>
          <w:lang w:bidi="ar"/>
        </w:rPr>
        <w:t>（一）因结算参与人未完成与中国结算的集中交收，导致您应收资金</w:t>
      </w:r>
      <w:r>
        <w:rPr>
          <w:rFonts w:hint="eastAsia" w:eastAsia="仿宋_GB2312"/>
          <w:color w:val="000000"/>
          <w:kern w:val="2"/>
          <w:sz w:val="32"/>
          <w:szCs w:val="32"/>
          <w:lang w:val="en-US" w:eastAsia="zh-CN" w:bidi="ar"/>
        </w:rPr>
        <w:t>或者</w:t>
      </w:r>
      <w:r>
        <w:rPr>
          <w:rFonts w:hint="default" w:eastAsia="仿宋_GB2312"/>
          <w:color w:val="000000"/>
          <w:kern w:val="2"/>
          <w:sz w:val="32"/>
          <w:szCs w:val="32"/>
          <w:lang w:bidi="ar"/>
        </w:rPr>
        <w:t>证券被暂不交付或处置；</w:t>
      </w:r>
    </w:p>
    <w:p w14:paraId="1CF6D69E">
      <w:pPr>
        <w:spacing w:line="560" w:lineRule="exact"/>
        <w:ind w:firstLine="640" w:firstLineChars="200"/>
        <w:rPr>
          <w:rFonts w:eastAsia="仿宋_GB2312"/>
          <w:color w:val="000000"/>
          <w:kern w:val="2"/>
          <w:sz w:val="32"/>
          <w:szCs w:val="32"/>
          <w:lang w:bidi="ar"/>
        </w:rPr>
      </w:pPr>
      <w:r>
        <w:rPr>
          <w:rFonts w:hint="default" w:eastAsia="仿宋_GB2312"/>
          <w:color w:val="000000"/>
          <w:kern w:val="2"/>
          <w:sz w:val="32"/>
          <w:szCs w:val="32"/>
          <w:lang w:bidi="ar"/>
        </w:rPr>
        <w:t>（二）结算参与人对您出现交收违约导致您未能取得应收证券或资金；</w:t>
      </w:r>
    </w:p>
    <w:p w14:paraId="19747013">
      <w:pPr>
        <w:spacing w:line="560" w:lineRule="exact"/>
        <w:ind w:firstLine="640" w:firstLineChars="200"/>
        <w:rPr>
          <w:rFonts w:eastAsia="仿宋_GB2312"/>
          <w:color w:val="000000"/>
          <w:kern w:val="2"/>
          <w:sz w:val="32"/>
          <w:szCs w:val="32"/>
          <w:lang w:bidi="ar"/>
        </w:rPr>
      </w:pPr>
      <w:r>
        <w:rPr>
          <w:rFonts w:hint="default" w:eastAsia="仿宋_GB2312"/>
          <w:color w:val="000000"/>
          <w:kern w:val="2"/>
          <w:sz w:val="32"/>
          <w:szCs w:val="32"/>
          <w:lang w:bidi="ar"/>
        </w:rPr>
        <w:t>（三）结算参与人向中国结算发送的有关您的证券划付指令有误的导致您权益受损；</w:t>
      </w:r>
    </w:p>
    <w:p w14:paraId="76D45886">
      <w:pPr>
        <w:spacing w:line="560" w:lineRule="exact"/>
        <w:ind w:firstLine="640" w:firstLineChars="200"/>
        <w:rPr>
          <w:rFonts w:eastAsia="仿宋_GB2312"/>
          <w:color w:val="000000"/>
          <w:kern w:val="2"/>
          <w:sz w:val="32"/>
          <w:szCs w:val="32"/>
          <w:lang w:bidi="ar"/>
        </w:rPr>
      </w:pPr>
      <w:r>
        <w:rPr>
          <w:rFonts w:hint="default" w:eastAsia="仿宋_GB2312"/>
          <w:color w:val="000000"/>
          <w:kern w:val="2"/>
          <w:sz w:val="32"/>
          <w:szCs w:val="32"/>
          <w:lang w:bidi="ar"/>
        </w:rPr>
        <w:t>（四）其他因结算参与人未遵守相关业务规则导致您利益受到损害的情况。</w:t>
      </w:r>
    </w:p>
    <w:p w14:paraId="47D70B95">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四十</w:t>
      </w:r>
      <w:r>
        <w:rPr>
          <w:rFonts w:hint="eastAsia" w:eastAsia="仿宋_GB2312"/>
          <w:b w:val="0"/>
          <w:bCs w:val="0"/>
          <w:color w:val="000000"/>
          <w:kern w:val="2"/>
          <w:sz w:val="32"/>
          <w:szCs w:val="32"/>
          <w:lang w:val="en-US" w:eastAsia="zh-CN" w:bidi="ar"/>
        </w:rPr>
        <w:t>三</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香港市场收费标准与内地市场收费标准不同，香港地区与内地在税收安排方面也存在差异，您买卖港股通标的证券，应当按照香港市场有关规定交纳相关费用，并按照香港地区相关规定缴纳税款。部分港股通股票可能根据上市公司注册地或者主营业务经营所在地要求，存在其他税收安排。</w:t>
      </w:r>
    </w:p>
    <w:p w14:paraId="5E774B8F">
      <w:pPr>
        <w:spacing w:line="560" w:lineRule="exact"/>
        <w:ind w:firstLine="640" w:firstLineChars="200"/>
        <w:rPr>
          <w:rFonts w:eastAsia="仿宋_GB2312"/>
          <w:color w:val="000000"/>
          <w:kern w:val="2"/>
          <w:sz w:val="32"/>
          <w:szCs w:val="32"/>
          <w:lang w:bidi="ar"/>
        </w:rPr>
      </w:pPr>
      <w:r>
        <w:rPr>
          <w:rFonts w:hint="default" w:eastAsia="仿宋_GB2312"/>
          <w:b w:val="0"/>
          <w:bCs w:val="0"/>
          <w:color w:val="000000"/>
          <w:kern w:val="2"/>
          <w:sz w:val="32"/>
          <w:szCs w:val="32"/>
          <w:lang w:bidi="ar"/>
        </w:rPr>
        <w:t>四十</w:t>
      </w:r>
      <w:r>
        <w:rPr>
          <w:rFonts w:hint="eastAsia" w:eastAsia="仿宋_GB2312"/>
          <w:b w:val="0"/>
          <w:bCs w:val="0"/>
          <w:color w:val="000000"/>
          <w:kern w:val="2"/>
          <w:sz w:val="32"/>
          <w:szCs w:val="32"/>
          <w:lang w:val="en-US" w:eastAsia="zh-CN" w:bidi="ar"/>
        </w:rPr>
        <w:t>四</w:t>
      </w:r>
      <w:r>
        <w:rPr>
          <w:rFonts w:hint="default" w:eastAsia="仿宋_GB2312"/>
          <w:b w:val="0"/>
          <w:bCs w:val="0"/>
          <w:color w:val="000000"/>
          <w:kern w:val="2"/>
          <w:sz w:val="32"/>
          <w:szCs w:val="32"/>
          <w:lang w:bidi="ar"/>
        </w:rPr>
        <w:t>、</w:t>
      </w:r>
      <w:r>
        <w:rPr>
          <w:rFonts w:hint="default" w:eastAsia="仿宋_GB2312"/>
          <w:color w:val="000000"/>
          <w:kern w:val="2"/>
          <w:sz w:val="32"/>
          <w:szCs w:val="32"/>
          <w:lang w:bidi="ar"/>
        </w:rPr>
        <w:t>对于因深交所、中国结算制定、修改业务规则，或者根据业务规则履行自律监管职责等造成的损失，深交所和中国结算不承担责任；您还应当充分知晓并认可联交所、香港结算在其规则中规定的相关责任豁免条款，包括但不限于对因制定、修改业务规则、根据业务规则履行自律监管职责、发生</w:t>
      </w:r>
      <w:r>
        <w:rPr>
          <w:rFonts w:hint="eastAsia" w:eastAsia="仿宋_GB2312"/>
          <w:color w:val="000000"/>
          <w:kern w:val="2"/>
          <w:sz w:val="32"/>
          <w:szCs w:val="32"/>
          <w:lang w:val="en-US" w:eastAsia="zh-CN" w:bidi="ar"/>
        </w:rPr>
        <w:t>或者</w:t>
      </w:r>
      <w:r>
        <w:rPr>
          <w:rFonts w:hint="default" w:eastAsia="仿宋_GB2312"/>
          <w:color w:val="000000"/>
          <w:kern w:val="2"/>
          <w:sz w:val="32"/>
          <w:szCs w:val="32"/>
          <w:lang w:bidi="ar"/>
        </w:rPr>
        <w:t>处置交易异常情况等导致的损失</w:t>
      </w:r>
      <w:r>
        <w:rPr>
          <w:rFonts w:hint="eastAsia" w:eastAsia="仿宋_GB2312"/>
          <w:color w:val="000000"/>
          <w:kern w:val="2"/>
          <w:sz w:val="32"/>
          <w:szCs w:val="32"/>
          <w:lang w:eastAsia="zh-CN" w:bidi="ar"/>
        </w:rPr>
        <w:t>，</w:t>
      </w:r>
      <w:r>
        <w:rPr>
          <w:rFonts w:hint="default" w:eastAsia="仿宋_GB2312"/>
          <w:color w:val="000000"/>
          <w:kern w:val="2"/>
          <w:sz w:val="32"/>
          <w:szCs w:val="32"/>
          <w:lang w:bidi="ar"/>
        </w:rPr>
        <w:t>不承担责任的规定。</w:t>
      </w:r>
    </w:p>
    <w:p w14:paraId="4A0E840D">
      <w:pPr>
        <w:spacing w:line="560" w:lineRule="exact"/>
        <w:ind w:firstLine="640" w:firstLineChars="200"/>
        <w:rPr>
          <w:rFonts w:eastAsia="仿宋_GB2312"/>
          <w:b w:val="0"/>
          <w:bCs w:val="0"/>
          <w:color w:val="000000"/>
          <w:kern w:val="2"/>
          <w:sz w:val="32"/>
          <w:szCs w:val="32"/>
          <w:lang w:bidi="ar"/>
        </w:rPr>
      </w:pPr>
    </w:p>
    <w:p w14:paraId="2022346F">
      <w:pPr>
        <w:spacing w:line="560" w:lineRule="exact"/>
        <w:ind w:firstLine="643" w:firstLineChars="200"/>
        <w:rPr>
          <w:rFonts w:eastAsia="仿宋_GB2312"/>
          <w:b/>
          <w:bCs/>
          <w:color w:val="000000"/>
          <w:kern w:val="2"/>
          <w:sz w:val="32"/>
          <w:szCs w:val="32"/>
          <w:lang w:bidi="ar"/>
        </w:rPr>
      </w:pPr>
      <w:r>
        <w:rPr>
          <w:rFonts w:hint="default" w:eastAsia="仿宋_GB2312"/>
          <w:b/>
          <w:bCs/>
          <w:color w:val="000000"/>
          <w:kern w:val="2"/>
          <w:sz w:val="32"/>
          <w:szCs w:val="32"/>
          <w:lang w:bidi="ar"/>
        </w:rPr>
        <w:t>上述风险揭示事项仅为列举性质，未能详尽列明港股通交易的所有风险因素，且未来有关法律法规和业务规则发生变化时可能不会要求投资者重新签署风险揭示书。您在参与港股通交易前，应当认真阅读有关法律法规、业务规则和协议条款，对港股通交易特有的规则必须了解和掌握，并确信自己已做好足够的风险评估与财务安排，避免因参与港股通交易而遭受难以承受的风险和损失。</w:t>
      </w:r>
    </w:p>
    <w:p w14:paraId="29B0FB6A">
      <w:pPr>
        <w:spacing w:line="560" w:lineRule="exact"/>
        <w:ind w:firstLine="643" w:firstLineChars="200"/>
        <w:rPr>
          <w:rFonts w:eastAsia="仿宋_GB2312"/>
          <w:b/>
          <w:bCs/>
          <w:color w:val="000000"/>
          <w:kern w:val="2"/>
          <w:sz w:val="32"/>
          <w:szCs w:val="32"/>
          <w:lang w:bidi="ar"/>
        </w:rPr>
      </w:pPr>
    </w:p>
    <w:p w14:paraId="1606E471">
      <w:pPr>
        <w:spacing w:line="560" w:lineRule="exact"/>
        <w:ind w:firstLine="643" w:firstLineChars="200"/>
        <w:rPr>
          <w:rFonts w:eastAsia="仿宋_GB2312"/>
          <w:b/>
          <w:bCs/>
          <w:color w:val="000000"/>
          <w:kern w:val="2"/>
          <w:sz w:val="32"/>
          <w:szCs w:val="32"/>
          <w:lang w:bidi="ar"/>
        </w:rPr>
      </w:pPr>
      <w:r>
        <w:rPr>
          <w:rFonts w:hint="default" w:eastAsia="仿宋_GB2312"/>
          <w:b/>
          <w:bCs/>
          <w:color w:val="000000"/>
          <w:kern w:val="2"/>
          <w:sz w:val="32"/>
          <w:szCs w:val="32"/>
          <w:lang w:bidi="ar"/>
        </w:rPr>
        <w:t>您应提高对非法证券活动的识别判断能力，务必注意风险，在遇到类似非法证券活动时，应及时向中国证监会驻当地的派出机构进行咨询或举报，自觉做到知法、懂法、守法，不被虚假宣传所迷惑，不参与非法证券活动，避免上当受骗，保护自身合法权益不受侵害。</w:t>
      </w:r>
    </w:p>
    <w:p w14:paraId="05CA466D">
      <w:pPr>
        <w:spacing w:line="560" w:lineRule="exact"/>
        <w:ind w:firstLine="643" w:firstLineChars="200"/>
        <w:rPr>
          <w:rFonts w:eastAsia="仿宋_GB2312"/>
          <w:b/>
          <w:bCs/>
          <w:color w:val="000000"/>
          <w:kern w:val="2"/>
          <w:sz w:val="32"/>
          <w:szCs w:val="32"/>
          <w:lang w:bidi="ar"/>
        </w:rPr>
      </w:pPr>
    </w:p>
    <w:p w14:paraId="19DE1625">
      <w:pPr>
        <w:spacing w:line="560" w:lineRule="exact"/>
        <w:ind w:firstLine="643" w:firstLineChars="200"/>
        <w:rPr>
          <w:rFonts w:eastAsia="仿宋_GB2312"/>
          <w:b/>
          <w:bCs/>
          <w:color w:val="000000"/>
          <w:kern w:val="2"/>
          <w:sz w:val="32"/>
          <w:szCs w:val="32"/>
          <w:lang w:bidi="ar"/>
        </w:rPr>
      </w:pPr>
      <w:r>
        <w:rPr>
          <w:rFonts w:hint="default" w:eastAsia="仿宋_GB2312"/>
          <w:b/>
          <w:bCs/>
          <w:color w:val="000000"/>
          <w:kern w:val="2"/>
          <w:sz w:val="32"/>
          <w:szCs w:val="32"/>
          <w:lang w:bidi="ar"/>
        </w:rPr>
        <w:t>南京证券分支机构工作人员已对本人</w:t>
      </w:r>
      <w:r>
        <w:rPr>
          <w:rFonts w:eastAsia="仿宋_GB2312"/>
          <w:b/>
          <w:bCs/>
          <w:color w:val="000000"/>
          <w:kern w:val="2"/>
          <w:sz w:val="32"/>
          <w:szCs w:val="32"/>
          <w:lang w:bidi="ar"/>
        </w:rPr>
        <w:t>/</w:t>
      </w:r>
      <w:r>
        <w:rPr>
          <w:rFonts w:hint="default" w:eastAsia="仿宋_GB2312"/>
          <w:b/>
          <w:bCs/>
          <w:color w:val="000000"/>
          <w:kern w:val="2"/>
          <w:sz w:val="32"/>
          <w:szCs w:val="32"/>
          <w:lang w:bidi="ar"/>
        </w:rPr>
        <w:t>机构进行了港股通业务相关投资者教育知识宣讲，本人</w:t>
      </w:r>
      <w:r>
        <w:rPr>
          <w:rFonts w:eastAsia="仿宋_GB2312"/>
          <w:b/>
          <w:bCs/>
          <w:color w:val="000000"/>
          <w:kern w:val="2"/>
          <w:sz w:val="32"/>
          <w:szCs w:val="32"/>
          <w:lang w:bidi="ar"/>
        </w:rPr>
        <w:t>/</w:t>
      </w:r>
      <w:r>
        <w:rPr>
          <w:rFonts w:hint="default" w:eastAsia="仿宋_GB2312"/>
          <w:b/>
          <w:bCs/>
          <w:color w:val="000000"/>
          <w:kern w:val="2"/>
          <w:sz w:val="32"/>
          <w:szCs w:val="32"/>
          <w:lang w:bidi="ar"/>
        </w:rPr>
        <w:t>机构已经充分了解港股通业务的相关知识，确认已知晓并理解以上风险揭示书的全部内容，愿意承担港股通交易的风险和损失。</w:t>
      </w:r>
    </w:p>
    <w:p w14:paraId="2EA993C0">
      <w:pPr>
        <w:spacing w:line="560" w:lineRule="exact"/>
        <w:ind w:firstLine="640" w:firstLineChars="200"/>
        <w:rPr>
          <w:rFonts w:eastAsia="仿宋_GB2312"/>
          <w:color w:val="000000"/>
          <w:kern w:val="2"/>
          <w:sz w:val="32"/>
          <w:szCs w:val="32"/>
          <w:lang w:bidi="ar"/>
        </w:rPr>
      </w:pPr>
    </w:p>
    <w:p w14:paraId="2465264A">
      <w:pPr>
        <w:spacing w:line="560" w:lineRule="exact"/>
        <w:ind w:firstLine="640" w:firstLineChars="200"/>
        <w:rPr>
          <w:rFonts w:eastAsia="仿宋_GB2312"/>
          <w:color w:val="000000"/>
          <w:kern w:val="2"/>
          <w:sz w:val="32"/>
          <w:szCs w:val="32"/>
          <w:lang w:bidi="ar"/>
        </w:rPr>
      </w:pPr>
    </w:p>
    <w:p w14:paraId="72141133">
      <w:pPr>
        <w:spacing w:line="560" w:lineRule="exact"/>
        <w:ind w:firstLine="640" w:firstLineChars="200"/>
        <w:rPr>
          <w:rFonts w:eastAsia="仿宋_GB2312"/>
          <w:color w:val="000000"/>
          <w:kern w:val="2"/>
          <w:sz w:val="32"/>
          <w:szCs w:val="32"/>
          <w:lang w:bidi="ar"/>
        </w:rPr>
      </w:pPr>
    </w:p>
    <w:p w14:paraId="69A5DAD6">
      <w:pPr>
        <w:wordWrap/>
        <w:spacing w:line="560" w:lineRule="exact"/>
        <w:ind w:firstLine="5120" w:firstLineChars="1600"/>
        <w:jc w:val="both"/>
        <w:rPr>
          <w:rFonts w:eastAsia="仿宋_GB2312"/>
          <w:color w:val="000000"/>
          <w:sz w:val="32"/>
          <w:szCs w:val="32"/>
          <w:lang w:bidi="ar"/>
        </w:rPr>
      </w:pPr>
      <w:r>
        <w:rPr>
          <w:rFonts w:hint="default" w:eastAsia="仿宋_GB2312"/>
          <w:color w:val="000000"/>
          <w:sz w:val="32"/>
          <w:szCs w:val="32"/>
          <w:lang w:bidi="ar"/>
        </w:rPr>
        <w:t xml:space="preserve">投资者： </w:t>
      </w:r>
      <w:r>
        <w:rPr>
          <w:rFonts w:eastAsia="仿宋_GB2312"/>
          <w:color w:val="000000"/>
          <w:sz w:val="32"/>
          <w:szCs w:val="32"/>
          <w:lang w:bidi="ar"/>
        </w:rPr>
        <w:t xml:space="preserve">                   </w:t>
      </w:r>
    </w:p>
    <w:p w14:paraId="1CE0877A">
      <w:pPr>
        <w:spacing w:line="560" w:lineRule="exact"/>
        <w:ind w:firstLine="640" w:firstLineChars="200"/>
        <w:jc w:val="right"/>
        <w:rPr>
          <w:rFonts w:eastAsia="仿宋_GB2312"/>
          <w:color w:val="000000"/>
          <w:sz w:val="32"/>
          <w:szCs w:val="32"/>
          <w:lang w:bidi="ar"/>
        </w:rPr>
      </w:pPr>
    </w:p>
    <w:p w14:paraId="20CD64F3">
      <w:pPr>
        <w:spacing w:line="560" w:lineRule="exact"/>
        <w:ind w:firstLine="640" w:firstLineChars="200"/>
        <w:jc w:val="right"/>
        <w:rPr>
          <w:rFonts w:eastAsia="仿宋_GB2312"/>
          <w:color w:val="000000"/>
          <w:sz w:val="32"/>
          <w:szCs w:val="32"/>
          <w:lang w:bidi="ar"/>
        </w:rPr>
      </w:pPr>
      <w:r>
        <w:rPr>
          <w:rFonts w:hint="default" w:eastAsia="仿宋_GB2312"/>
          <w:color w:val="000000"/>
          <w:sz w:val="32"/>
          <w:szCs w:val="32"/>
          <w:lang w:bidi="ar"/>
        </w:rPr>
        <w:t>（自然人投资者签字</w:t>
      </w:r>
      <w:r>
        <w:rPr>
          <w:rFonts w:eastAsia="仿宋_GB2312"/>
          <w:color w:val="000000"/>
          <w:sz w:val="32"/>
          <w:szCs w:val="32"/>
          <w:lang w:bidi="ar"/>
        </w:rPr>
        <w:t>/</w:t>
      </w:r>
      <w:r>
        <w:rPr>
          <w:rFonts w:hint="default" w:eastAsia="仿宋_GB2312"/>
          <w:color w:val="000000"/>
          <w:sz w:val="32"/>
          <w:szCs w:val="32"/>
          <w:lang w:bidi="ar"/>
        </w:rPr>
        <w:t>非自然人投资者盖章）</w:t>
      </w:r>
    </w:p>
    <w:p w14:paraId="22CDE694">
      <w:pPr>
        <w:spacing w:line="560" w:lineRule="exact"/>
        <w:ind w:firstLine="640" w:firstLineChars="200"/>
        <w:jc w:val="right"/>
        <w:rPr>
          <w:rFonts w:eastAsia="仿宋_GB2312"/>
          <w:color w:val="000000"/>
          <w:sz w:val="32"/>
          <w:szCs w:val="32"/>
          <w:lang w:bidi="ar"/>
        </w:rPr>
      </w:pPr>
    </w:p>
    <w:p w14:paraId="7F63DC04">
      <w:pPr>
        <w:spacing w:line="560" w:lineRule="exact"/>
        <w:ind w:firstLine="640" w:firstLineChars="200"/>
        <w:jc w:val="right"/>
        <w:rPr>
          <w:rFonts w:eastAsia="方正仿宋_GBK"/>
          <w:sz w:val="32"/>
          <w:szCs w:val="32"/>
        </w:rPr>
        <w:sectPr>
          <w:pgSz w:w="11907" w:h="16840"/>
          <w:pgMar w:top="2098" w:right="1588" w:bottom="2098" w:left="1588" w:header="851" w:footer="992" w:gutter="0"/>
          <w:cols w:space="720" w:num="1"/>
        </w:sectPr>
      </w:pPr>
      <w:r>
        <w:rPr>
          <w:rFonts w:hint="default" w:eastAsia="仿宋_GB2312"/>
          <w:color w:val="000000"/>
          <w:sz w:val="32"/>
          <w:szCs w:val="32"/>
          <w:lang w:bidi="ar"/>
        </w:rPr>
        <w:t>签署日期：</w:t>
      </w:r>
      <w:r>
        <w:rPr>
          <w:rFonts w:eastAsia="仿宋_GB2312"/>
          <w:color w:val="000000"/>
          <w:sz w:val="32"/>
          <w:szCs w:val="32"/>
          <w:lang w:bidi="ar"/>
        </w:rPr>
        <w:t xml:space="preserve">    </w:t>
      </w:r>
      <w:r>
        <w:rPr>
          <w:rFonts w:hint="default" w:eastAsia="仿宋_GB2312"/>
          <w:color w:val="000000"/>
          <w:sz w:val="32"/>
          <w:szCs w:val="32"/>
          <w:lang w:bidi="ar"/>
        </w:rPr>
        <w:t>年</w:t>
      </w:r>
      <w:r>
        <w:rPr>
          <w:rFonts w:eastAsia="仿宋_GB2312"/>
          <w:color w:val="000000"/>
          <w:sz w:val="32"/>
          <w:szCs w:val="32"/>
          <w:lang w:bidi="ar"/>
        </w:rPr>
        <w:t xml:space="preserve">  </w:t>
      </w:r>
      <w:r>
        <w:rPr>
          <w:rFonts w:hint="default" w:eastAsia="仿宋_GB2312"/>
          <w:color w:val="000000"/>
          <w:sz w:val="32"/>
          <w:szCs w:val="32"/>
          <w:lang w:bidi="ar"/>
        </w:rPr>
        <w:t>月</w:t>
      </w:r>
      <w:r>
        <w:rPr>
          <w:rFonts w:eastAsia="仿宋_GB2312"/>
          <w:color w:val="000000"/>
          <w:sz w:val="32"/>
          <w:szCs w:val="32"/>
          <w:lang w:bidi="ar"/>
        </w:rPr>
        <w:t xml:space="preserve">  </w:t>
      </w:r>
      <w:r>
        <w:rPr>
          <w:rFonts w:hint="default" w:eastAsia="仿宋_GB2312"/>
          <w:color w:val="000000"/>
          <w:sz w:val="32"/>
          <w:szCs w:val="32"/>
          <w:lang w:bidi="ar"/>
        </w:rPr>
        <w:t>日</w:t>
      </w:r>
    </w:p>
    <w:p w14:paraId="4C3E9B4E">
      <w:pPr>
        <w:spacing w:line="300" w:lineRule="auto"/>
        <w:ind w:right="210" w:rightChars="100"/>
        <w:rPr>
          <w:rFonts w:eastAsia="方正仿宋_GBK"/>
          <w:sz w:val="28"/>
          <w:szCs w:val="28"/>
        </w:rPr>
      </w:pPr>
      <w:bookmarkStart w:id="0" w:name="_GoBack"/>
      <w:bookmarkEnd w:id="0"/>
    </w:p>
    <w:sectPr>
      <w:footerReference r:id="rId4" w:type="default"/>
      <w:headerReference r:id="rId3" w:type="even"/>
      <w:pgSz w:w="11906" w:h="16838"/>
      <w:pgMar w:top="2098" w:right="1588" w:bottom="2098"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005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CF7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E2D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81"/>
  <w:drawingGridVerticalSpacing w:val="156"/>
  <w:displayHorizontalDrawingGridEvery w:val="0"/>
  <w:displayVerticalDrawingGridEvery w:val="2"/>
  <w:doNotUseMarginsForDrawingGridOrigin w:val="1"/>
  <w:drawingGridHorizontalOrigin w:val="1588"/>
  <w:drawingGridVerticalOrigin w:val="2098"/>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MzcyNTk0NGQ5OGZkNGM4Yzc1ODBmOTMzNGZjYjgifQ=="/>
  </w:docVars>
  <w:rsids>
    <w:rsidRoot w:val="00B72FBE"/>
    <w:rsid w:val="00006CAE"/>
    <w:rsid w:val="000133DB"/>
    <w:rsid w:val="00013E10"/>
    <w:rsid w:val="00015590"/>
    <w:rsid w:val="00016767"/>
    <w:rsid w:val="00024818"/>
    <w:rsid w:val="00026FE9"/>
    <w:rsid w:val="00027241"/>
    <w:rsid w:val="000304EB"/>
    <w:rsid w:val="00030E1D"/>
    <w:rsid w:val="00032E4B"/>
    <w:rsid w:val="0003318A"/>
    <w:rsid w:val="000401FF"/>
    <w:rsid w:val="00046900"/>
    <w:rsid w:val="00053702"/>
    <w:rsid w:val="00053777"/>
    <w:rsid w:val="000556FB"/>
    <w:rsid w:val="00056431"/>
    <w:rsid w:val="00057EC9"/>
    <w:rsid w:val="0007091B"/>
    <w:rsid w:val="000754D8"/>
    <w:rsid w:val="00076ED2"/>
    <w:rsid w:val="00076FD9"/>
    <w:rsid w:val="000770AE"/>
    <w:rsid w:val="000800F4"/>
    <w:rsid w:val="00080585"/>
    <w:rsid w:val="0008221D"/>
    <w:rsid w:val="00084BF9"/>
    <w:rsid w:val="000902E3"/>
    <w:rsid w:val="000A01E8"/>
    <w:rsid w:val="000A0667"/>
    <w:rsid w:val="000A4937"/>
    <w:rsid w:val="000A5470"/>
    <w:rsid w:val="000A54A9"/>
    <w:rsid w:val="000A57C0"/>
    <w:rsid w:val="000A606F"/>
    <w:rsid w:val="000B2A2C"/>
    <w:rsid w:val="000B5913"/>
    <w:rsid w:val="000C139E"/>
    <w:rsid w:val="000C1E56"/>
    <w:rsid w:val="000C75AD"/>
    <w:rsid w:val="000D015D"/>
    <w:rsid w:val="000D25B4"/>
    <w:rsid w:val="000D7603"/>
    <w:rsid w:val="000E0CB6"/>
    <w:rsid w:val="000E3A57"/>
    <w:rsid w:val="000E4420"/>
    <w:rsid w:val="000E6FE5"/>
    <w:rsid w:val="000F1C96"/>
    <w:rsid w:val="000F2BD5"/>
    <w:rsid w:val="00102677"/>
    <w:rsid w:val="00104B87"/>
    <w:rsid w:val="00111E68"/>
    <w:rsid w:val="00113B37"/>
    <w:rsid w:val="001159F1"/>
    <w:rsid w:val="001237EB"/>
    <w:rsid w:val="00125275"/>
    <w:rsid w:val="00126CEA"/>
    <w:rsid w:val="0013493B"/>
    <w:rsid w:val="00140139"/>
    <w:rsid w:val="00140765"/>
    <w:rsid w:val="001430D5"/>
    <w:rsid w:val="0014561C"/>
    <w:rsid w:val="001465D0"/>
    <w:rsid w:val="00153827"/>
    <w:rsid w:val="001613C3"/>
    <w:rsid w:val="0016459E"/>
    <w:rsid w:val="00164D5D"/>
    <w:rsid w:val="001744A1"/>
    <w:rsid w:val="00175C02"/>
    <w:rsid w:val="0017641D"/>
    <w:rsid w:val="001769CC"/>
    <w:rsid w:val="00180243"/>
    <w:rsid w:val="0018061A"/>
    <w:rsid w:val="00184D70"/>
    <w:rsid w:val="00184EFC"/>
    <w:rsid w:val="00187E8B"/>
    <w:rsid w:val="001902A6"/>
    <w:rsid w:val="00190794"/>
    <w:rsid w:val="001915C0"/>
    <w:rsid w:val="00196036"/>
    <w:rsid w:val="001A44DE"/>
    <w:rsid w:val="001A6BED"/>
    <w:rsid w:val="001B3906"/>
    <w:rsid w:val="001B578B"/>
    <w:rsid w:val="001C0617"/>
    <w:rsid w:val="001C6950"/>
    <w:rsid w:val="001D1730"/>
    <w:rsid w:val="001D28FC"/>
    <w:rsid w:val="001D7027"/>
    <w:rsid w:val="001E210A"/>
    <w:rsid w:val="001F024E"/>
    <w:rsid w:val="001F45BB"/>
    <w:rsid w:val="001F4B25"/>
    <w:rsid w:val="001F6F96"/>
    <w:rsid w:val="0020281F"/>
    <w:rsid w:val="00206A71"/>
    <w:rsid w:val="00207F89"/>
    <w:rsid w:val="00224AF2"/>
    <w:rsid w:val="00225648"/>
    <w:rsid w:val="00225807"/>
    <w:rsid w:val="00231230"/>
    <w:rsid w:val="00234633"/>
    <w:rsid w:val="00236240"/>
    <w:rsid w:val="00242061"/>
    <w:rsid w:val="002476F8"/>
    <w:rsid w:val="0025096F"/>
    <w:rsid w:val="0025150B"/>
    <w:rsid w:val="00255579"/>
    <w:rsid w:val="00272AE7"/>
    <w:rsid w:val="00272E95"/>
    <w:rsid w:val="00273315"/>
    <w:rsid w:val="00281FF2"/>
    <w:rsid w:val="00282255"/>
    <w:rsid w:val="00292F6C"/>
    <w:rsid w:val="002A1C7F"/>
    <w:rsid w:val="002A54B2"/>
    <w:rsid w:val="002B106A"/>
    <w:rsid w:val="002B1AA4"/>
    <w:rsid w:val="002B1AF2"/>
    <w:rsid w:val="002C21CA"/>
    <w:rsid w:val="002C3618"/>
    <w:rsid w:val="002C52A1"/>
    <w:rsid w:val="002C5AA5"/>
    <w:rsid w:val="002D0BB5"/>
    <w:rsid w:val="002E4F57"/>
    <w:rsid w:val="002E5604"/>
    <w:rsid w:val="002E60E8"/>
    <w:rsid w:val="002E61AD"/>
    <w:rsid w:val="002E6B57"/>
    <w:rsid w:val="002E74A7"/>
    <w:rsid w:val="002F1AD1"/>
    <w:rsid w:val="002F7236"/>
    <w:rsid w:val="003015FE"/>
    <w:rsid w:val="00305452"/>
    <w:rsid w:val="00310294"/>
    <w:rsid w:val="00313B0D"/>
    <w:rsid w:val="003178C7"/>
    <w:rsid w:val="00320EA0"/>
    <w:rsid w:val="003246A8"/>
    <w:rsid w:val="0032537B"/>
    <w:rsid w:val="003337D5"/>
    <w:rsid w:val="003353F4"/>
    <w:rsid w:val="00335858"/>
    <w:rsid w:val="00335E62"/>
    <w:rsid w:val="00336C60"/>
    <w:rsid w:val="003431EE"/>
    <w:rsid w:val="00350068"/>
    <w:rsid w:val="00354079"/>
    <w:rsid w:val="003679CA"/>
    <w:rsid w:val="00370570"/>
    <w:rsid w:val="00370B02"/>
    <w:rsid w:val="0037275E"/>
    <w:rsid w:val="00373024"/>
    <w:rsid w:val="00385053"/>
    <w:rsid w:val="00386393"/>
    <w:rsid w:val="003864A6"/>
    <w:rsid w:val="00387915"/>
    <w:rsid w:val="00393667"/>
    <w:rsid w:val="003A0D9B"/>
    <w:rsid w:val="003A62EA"/>
    <w:rsid w:val="003A6F36"/>
    <w:rsid w:val="003A733D"/>
    <w:rsid w:val="003C0603"/>
    <w:rsid w:val="003C27EB"/>
    <w:rsid w:val="003D10FE"/>
    <w:rsid w:val="003D117A"/>
    <w:rsid w:val="003E5898"/>
    <w:rsid w:val="003F24E1"/>
    <w:rsid w:val="003F6FE0"/>
    <w:rsid w:val="00405D5B"/>
    <w:rsid w:val="00407170"/>
    <w:rsid w:val="00417F1C"/>
    <w:rsid w:val="00422AF7"/>
    <w:rsid w:val="00424DBE"/>
    <w:rsid w:val="00427651"/>
    <w:rsid w:val="00441C83"/>
    <w:rsid w:val="0045375D"/>
    <w:rsid w:val="00457F41"/>
    <w:rsid w:val="0047192F"/>
    <w:rsid w:val="00472FEC"/>
    <w:rsid w:val="00475711"/>
    <w:rsid w:val="00480A2F"/>
    <w:rsid w:val="004816DE"/>
    <w:rsid w:val="00483108"/>
    <w:rsid w:val="00486F5F"/>
    <w:rsid w:val="00490733"/>
    <w:rsid w:val="00491046"/>
    <w:rsid w:val="00493A83"/>
    <w:rsid w:val="004956C3"/>
    <w:rsid w:val="00496348"/>
    <w:rsid w:val="004A1FC3"/>
    <w:rsid w:val="004A219E"/>
    <w:rsid w:val="004A5CCE"/>
    <w:rsid w:val="004B3E51"/>
    <w:rsid w:val="004C0DBC"/>
    <w:rsid w:val="004D1966"/>
    <w:rsid w:val="004D3DC2"/>
    <w:rsid w:val="004D3EE5"/>
    <w:rsid w:val="004D4E5E"/>
    <w:rsid w:val="004D5426"/>
    <w:rsid w:val="004E1AE3"/>
    <w:rsid w:val="004E2862"/>
    <w:rsid w:val="004F1664"/>
    <w:rsid w:val="004F1DC4"/>
    <w:rsid w:val="004F4A1B"/>
    <w:rsid w:val="004F7287"/>
    <w:rsid w:val="00500020"/>
    <w:rsid w:val="005032BE"/>
    <w:rsid w:val="00507118"/>
    <w:rsid w:val="0050780A"/>
    <w:rsid w:val="005146E8"/>
    <w:rsid w:val="005249B0"/>
    <w:rsid w:val="00525721"/>
    <w:rsid w:val="00527F12"/>
    <w:rsid w:val="0053408C"/>
    <w:rsid w:val="005458B0"/>
    <w:rsid w:val="005471E2"/>
    <w:rsid w:val="005511C1"/>
    <w:rsid w:val="005530F4"/>
    <w:rsid w:val="005600B7"/>
    <w:rsid w:val="00561455"/>
    <w:rsid w:val="00565D10"/>
    <w:rsid w:val="00571C3D"/>
    <w:rsid w:val="00571F8B"/>
    <w:rsid w:val="00581A19"/>
    <w:rsid w:val="0059184D"/>
    <w:rsid w:val="005918AA"/>
    <w:rsid w:val="0059603E"/>
    <w:rsid w:val="00597AA0"/>
    <w:rsid w:val="00597F84"/>
    <w:rsid w:val="005A6FC1"/>
    <w:rsid w:val="005B16D0"/>
    <w:rsid w:val="005B450D"/>
    <w:rsid w:val="005C0244"/>
    <w:rsid w:val="005C0740"/>
    <w:rsid w:val="005C4BC5"/>
    <w:rsid w:val="005C4C95"/>
    <w:rsid w:val="005C63BF"/>
    <w:rsid w:val="005D52D9"/>
    <w:rsid w:val="005D6AE1"/>
    <w:rsid w:val="005D7936"/>
    <w:rsid w:val="005E2479"/>
    <w:rsid w:val="005F0EF2"/>
    <w:rsid w:val="005F11E7"/>
    <w:rsid w:val="005F556C"/>
    <w:rsid w:val="005F6A27"/>
    <w:rsid w:val="005F7993"/>
    <w:rsid w:val="005F7C4C"/>
    <w:rsid w:val="00601D16"/>
    <w:rsid w:val="0060251C"/>
    <w:rsid w:val="00604282"/>
    <w:rsid w:val="00604EFF"/>
    <w:rsid w:val="00606661"/>
    <w:rsid w:val="00614C04"/>
    <w:rsid w:val="00615BDA"/>
    <w:rsid w:val="00615DA6"/>
    <w:rsid w:val="0062743A"/>
    <w:rsid w:val="00630E0A"/>
    <w:rsid w:val="006331DC"/>
    <w:rsid w:val="00637889"/>
    <w:rsid w:val="006429B4"/>
    <w:rsid w:val="00642CD2"/>
    <w:rsid w:val="00644B85"/>
    <w:rsid w:val="0064780E"/>
    <w:rsid w:val="00650248"/>
    <w:rsid w:val="00651910"/>
    <w:rsid w:val="0065374D"/>
    <w:rsid w:val="00653C0E"/>
    <w:rsid w:val="00655DB7"/>
    <w:rsid w:val="006607B7"/>
    <w:rsid w:val="00661E92"/>
    <w:rsid w:val="006633A2"/>
    <w:rsid w:val="00665B2A"/>
    <w:rsid w:val="00667858"/>
    <w:rsid w:val="00670565"/>
    <w:rsid w:val="0067387C"/>
    <w:rsid w:val="00674003"/>
    <w:rsid w:val="00680B19"/>
    <w:rsid w:val="0068180F"/>
    <w:rsid w:val="006962E0"/>
    <w:rsid w:val="006A5037"/>
    <w:rsid w:val="006A559B"/>
    <w:rsid w:val="006B3DF8"/>
    <w:rsid w:val="006C5CFA"/>
    <w:rsid w:val="006D1D99"/>
    <w:rsid w:val="006D237F"/>
    <w:rsid w:val="006D2E4A"/>
    <w:rsid w:val="006D368C"/>
    <w:rsid w:val="006D7488"/>
    <w:rsid w:val="006D78D3"/>
    <w:rsid w:val="006E192B"/>
    <w:rsid w:val="006E20DD"/>
    <w:rsid w:val="006E255C"/>
    <w:rsid w:val="006E3ED1"/>
    <w:rsid w:val="006F196B"/>
    <w:rsid w:val="006F3836"/>
    <w:rsid w:val="006F5588"/>
    <w:rsid w:val="00700D1B"/>
    <w:rsid w:val="0070177F"/>
    <w:rsid w:val="007019E6"/>
    <w:rsid w:val="00702FE3"/>
    <w:rsid w:val="00714548"/>
    <w:rsid w:val="00715B72"/>
    <w:rsid w:val="00716827"/>
    <w:rsid w:val="00721EB9"/>
    <w:rsid w:val="00722ED2"/>
    <w:rsid w:val="00723CEB"/>
    <w:rsid w:val="007250FA"/>
    <w:rsid w:val="00726E5C"/>
    <w:rsid w:val="00734EB1"/>
    <w:rsid w:val="007358B9"/>
    <w:rsid w:val="00736030"/>
    <w:rsid w:val="00736FB7"/>
    <w:rsid w:val="00741234"/>
    <w:rsid w:val="00744DB0"/>
    <w:rsid w:val="00745111"/>
    <w:rsid w:val="00751230"/>
    <w:rsid w:val="00751E2B"/>
    <w:rsid w:val="00752A96"/>
    <w:rsid w:val="007530AF"/>
    <w:rsid w:val="007541BE"/>
    <w:rsid w:val="00754969"/>
    <w:rsid w:val="00756B02"/>
    <w:rsid w:val="0075744D"/>
    <w:rsid w:val="00766794"/>
    <w:rsid w:val="00777E8C"/>
    <w:rsid w:val="007801F3"/>
    <w:rsid w:val="00782D8D"/>
    <w:rsid w:val="00784626"/>
    <w:rsid w:val="00784CD7"/>
    <w:rsid w:val="00791854"/>
    <w:rsid w:val="00791FE9"/>
    <w:rsid w:val="007922E5"/>
    <w:rsid w:val="00793FB8"/>
    <w:rsid w:val="007958F0"/>
    <w:rsid w:val="00797791"/>
    <w:rsid w:val="007A1912"/>
    <w:rsid w:val="007A1FAE"/>
    <w:rsid w:val="007A3949"/>
    <w:rsid w:val="007A3B14"/>
    <w:rsid w:val="007A4DF8"/>
    <w:rsid w:val="007A6C4C"/>
    <w:rsid w:val="007A6FFC"/>
    <w:rsid w:val="007B1C20"/>
    <w:rsid w:val="007B63AC"/>
    <w:rsid w:val="007B6743"/>
    <w:rsid w:val="007B6AB1"/>
    <w:rsid w:val="007B7494"/>
    <w:rsid w:val="007C134D"/>
    <w:rsid w:val="007D02FC"/>
    <w:rsid w:val="007D3B94"/>
    <w:rsid w:val="007D4F5B"/>
    <w:rsid w:val="007E0E1D"/>
    <w:rsid w:val="007E5286"/>
    <w:rsid w:val="007E7989"/>
    <w:rsid w:val="008015EA"/>
    <w:rsid w:val="00806D49"/>
    <w:rsid w:val="00807A8A"/>
    <w:rsid w:val="0081608B"/>
    <w:rsid w:val="0081640C"/>
    <w:rsid w:val="00820EB0"/>
    <w:rsid w:val="00821231"/>
    <w:rsid w:val="00830DCE"/>
    <w:rsid w:val="00842EB1"/>
    <w:rsid w:val="00843584"/>
    <w:rsid w:val="008615D0"/>
    <w:rsid w:val="0086590B"/>
    <w:rsid w:val="0086631B"/>
    <w:rsid w:val="00870214"/>
    <w:rsid w:val="00871C2E"/>
    <w:rsid w:val="0087551E"/>
    <w:rsid w:val="008773C2"/>
    <w:rsid w:val="008833E1"/>
    <w:rsid w:val="008901C8"/>
    <w:rsid w:val="00891FDA"/>
    <w:rsid w:val="00892CCE"/>
    <w:rsid w:val="008938F9"/>
    <w:rsid w:val="00894B19"/>
    <w:rsid w:val="00896867"/>
    <w:rsid w:val="00897F9E"/>
    <w:rsid w:val="008A48C4"/>
    <w:rsid w:val="008A5AFB"/>
    <w:rsid w:val="008B18D5"/>
    <w:rsid w:val="008B1E66"/>
    <w:rsid w:val="008C1AE6"/>
    <w:rsid w:val="008C2C9A"/>
    <w:rsid w:val="008C2DE4"/>
    <w:rsid w:val="008C5A5B"/>
    <w:rsid w:val="008C6091"/>
    <w:rsid w:val="008C7659"/>
    <w:rsid w:val="008D517A"/>
    <w:rsid w:val="008E302E"/>
    <w:rsid w:val="008E3FF9"/>
    <w:rsid w:val="008E5911"/>
    <w:rsid w:val="008F4FB5"/>
    <w:rsid w:val="008F7F7C"/>
    <w:rsid w:val="009057C0"/>
    <w:rsid w:val="00905CAB"/>
    <w:rsid w:val="00906751"/>
    <w:rsid w:val="00910A68"/>
    <w:rsid w:val="00912D99"/>
    <w:rsid w:val="009202EB"/>
    <w:rsid w:val="009258E6"/>
    <w:rsid w:val="00931701"/>
    <w:rsid w:val="00931BB9"/>
    <w:rsid w:val="009356DA"/>
    <w:rsid w:val="00944FC1"/>
    <w:rsid w:val="00962272"/>
    <w:rsid w:val="00962958"/>
    <w:rsid w:val="0096325E"/>
    <w:rsid w:val="00970A47"/>
    <w:rsid w:val="0097434D"/>
    <w:rsid w:val="009754BB"/>
    <w:rsid w:val="00980F3E"/>
    <w:rsid w:val="00984B90"/>
    <w:rsid w:val="00994484"/>
    <w:rsid w:val="009A45D4"/>
    <w:rsid w:val="009A577B"/>
    <w:rsid w:val="009B1164"/>
    <w:rsid w:val="009C1B71"/>
    <w:rsid w:val="009C5186"/>
    <w:rsid w:val="009C51B2"/>
    <w:rsid w:val="009C573C"/>
    <w:rsid w:val="009D0206"/>
    <w:rsid w:val="009D17FE"/>
    <w:rsid w:val="009D594C"/>
    <w:rsid w:val="009D629F"/>
    <w:rsid w:val="009D7182"/>
    <w:rsid w:val="009E0B56"/>
    <w:rsid w:val="009E2F05"/>
    <w:rsid w:val="009E7441"/>
    <w:rsid w:val="009F3780"/>
    <w:rsid w:val="00A003B6"/>
    <w:rsid w:val="00A04B22"/>
    <w:rsid w:val="00A05406"/>
    <w:rsid w:val="00A05730"/>
    <w:rsid w:val="00A11710"/>
    <w:rsid w:val="00A1236E"/>
    <w:rsid w:val="00A131FA"/>
    <w:rsid w:val="00A163DA"/>
    <w:rsid w:val="00A2014F"/>
    <w:rsid w:val="00A2089C"/>
    <w:rsid w:val="00A21287"/>
    <w:rsid w:val="00A2413E"/>
    <w:rsid w:val="00A24394"/>
    <w:rsid w:val="00A25CF0"/>
    <w:rsid w:val="00A3014A"/>
    <w:rsid w:val="00A30D4A"/>
    <w:rsid w:val="00A32776"/>
    <w:rsid w:val="00A42591"/>
    <w:rsid w:val="00A561D4"/>
    <w:rsid w:val="00A61FEC"/>
    <w:rsid w:val="00A64392"/>
    <w:rsid w:val="00A74216"/>
    <w:rsid w:val="00A74D3D"/>
    <w:rsid w:val="00A75581"/>
    <w:rsid w:val="00A76992"/>
    <w:rsid w:val="00A76C89"/>
    <w:rsid w:val="00A76F1A"/>
    <w:rsid w:val="00A81634"/>
    <w:rsid w:val="00A87D49"/>
    <w:rsid w:val="00A94534"/>
    <w:rsid w:val="00A948DC"/>
    <w:rsid w:val="00A968D5"/>
    <w:rsid w:val="00A9693B"/>
    <w:rsid w:val="00A9698E"/>
    <w:rsid w:val="00AA2C2D"/>
    <w:rsid w:val="00AA2F8D"/>
    <w:rsid w:val="00AA72B0"/>
    <w:rsid w:val="00AB0CE0"/>
    <w:rsid w:val="00AB4CBE"/>
    <w:rsid w:val="00AB55E8"/>
    <w:rsid w:val="00AC1141"/>
    <w:rsid w:val="00AC374E"/>
    <w:rsid w:val="00AC46BE"/>
    <w:rsid w:val="00AD020D"/>
    <w:rsid w:val="00AD5357"/>
    <w:rsid w:val="00AD5C09"/>
    <w:rsid w:val="00AD6007"/>
    <w:rsid w:val="00AE2370"/>
    <w:rsid w:val="00AE3985"/>
    <w:rsid w:val="00AE5BDE"/>
    <w:rsid w:val="00AF4544"/>
    <w:rsid w:val="00AF4ACB"/>
    <w:rsid w:val="00AF51A4"/>
    <w:rsid w:val="00B01B75"/>
    <w:rsid w:val="00B02AC3"/>
    <w:rsid w:val="00B02B8E"/>
    <w:rsid w:val="00B05000"/>
    <w:rsid w:val="00B078BA"/>
    <w:rsid w:val="00B110CB"/>
    <w:rsid w:val="00B12D64"/>
    <w:rsid w:val="00B1645E"/>
    <w:rsid w:val="00B16B93"/>
    <w:rsid w:val="00B208D7"/>
    <w:rsid w:val="00B218B3"/>
    <w:rsid w:val="00B23C3C"/>
    <w:rsid w:val="00B26212"/>
    <w:rsid w:val="00B26BFE"/>
    <w:rsid w:val="00B26F89"/>
    <w:rsid w:val="00B333CA"/>
    <w:rsid w:val="00B3399E"/>
    <w:rsid w:val="00B34818"/>
    <w:rsid w:val="00B416C0"/>
    <w:rsid w:val="00B41854"/>
    <w:rsid w:val="00B43020"/>
    <w:rsid w:val="00B44550"/>
    <w:rsid w:val="00B45D6F"/>
    <w:rsid w:val="00B51728"/>
    <w:rsid w:val="00B51B19"/>
    <w:rsid w:val="00B521C7"/>
    <w:rsid w:val="00B53132"/>
    <w:rsid w:val="00B646E3"/>
    <w:rsid w:val="00B70E7D"/>
    <w:rsid w:val="00B72FBE"/>
    <w:rsid w:val="00B77053"/>
    <w:rsid w:val="00B80E90"/>
    <w:rsid w:val="00B83C6F"/>
    <w:rsid w:val="00B83F28"/>
    <w:rsid w:val="00B91A82"/>
    <w:rsid w:val="00B93858"/>
    <w:rsid w:val="00B94FBF"/>
    <w:rsid w:val="00BA36F9"/>
    <w:rsid w:val="00BA6F86"/>
    <w:rsid w:val="00BA7348"/>
    <w:rsid w:val="00BB0B53"/>
    <w:rsid w:val="00BB1CF1"/>
    <w:rsid w:val="00BC0F4F"/>
    <w:rsid w:val="00BD3552"/>
    <w:rsid w:val="00BE00E6"/>
    <w:rsid w:val="00BE1138"/>
    <w:rsid w:val="00BE51DA"/>
    <w:rsid w:val="00BE6288"/>
    <w:rsid w:val="00BE646C"/>
    <w:rsid w:val="00BF245C"/>
    <w:rsid w:val="00BF51F1"/>
    <w:rsid w:val="00C02DE0"/>
    <w:rsid w:val="00C03846"/>
    <w:rsid w:val="00C13F92"/>
    <w:rsid w:val="00C21A28"/>
    <w:rsid w:val="00C373D5"/>
    <w:rsid w:val="00C379D6"/>
    <w:rsid w:val="00C454C3"/>
    <w:rsid w:val="00C4770D"/>
    <w:rsid w:val="00C50CE7"/>
    <w:rsid w:val="00C55703"/>
    <w:rsid w:val="00C57B5A"/>
    <w:rsid w:val="00C67152"/>
    <w:rsid w:val="00C726C5"/>
    <w:rsid w:val="00C76CF9"/>
    <w:rsid w:val="00C776CE"/>
    <w:rsid w:val="00C92F5C"/>
    <w:rsid w:val="00C97BDC"/>
    <w:rsid w:val="00CA0BF8"/>
    <w:rsid w:val="00CA3234"/>
    <w:rsid w:val="00CA34ED"/>
    <w:rsid w:val="00CB02F0"/>
    <w:rsid w:val="00CB0C8D"/>
    <w:rsid w:val="00CB1A2F"/>
    <w:rsid w:val="00CB224A"/>
    <w:rsid w:val="00CB27A9"/>
    <w:rsid w:val="00CB7274"/>
    <w:rsid w:val="00CD35E3"/>
    <w:rsid w:val="00CD639B"/>
    <w:rsid w:val="00CE1C0F"/>
    <w:rsid w:val="00CE38A1"/>
    <w:rsid w:val="00CE52CE"/>
    <w:rsid w:val="00CF2278"/>
    <w:rsid w:val="00CF3001"/>
    <w:rsid w:val="00CF3DFD"/>
    <w:rsid w:val="00CF3FC8"/>
    <w:rsid w:val="00D00916"/>
    <w:rsid w:val="00D0288C"/>
    <w:rsid w:val="00D037B2"/>
    <w:rsid w:val="00D0580D"/>
    <w:rsid w:val="00D05CC8"/>
    <w:rsid w:val="00D07047"/>
    <w:rsid w:val="00D12484"/>
    <w:rsid w:val="00D13E68"/>
    <w:rsid w:val="00D14D35"/>
    <w:rsid w:val="00D15289"/>
    <w:rsid w:val="00D22B09"/>
    <w:rsid w:val="00D263B5"/>
    <w:rsid w:val="00D35CBD"/>
    <w:rsid w:val="00D36326"/>
    <w:rsid w:val="00D44339"/>
    <w:rsid w:val="00D44A54"/>
    <w:rsid w:val="00D47D4B"/>
    <w:rsid w:val="00D525F1"/>
    <w:rsid w:val="00D53F2B"/>
    <w:rsid w:val="00D5716A"/>
    <w:rsid w:val="00D6078F"/>
    <w:rsid w:val="00D63098"/>
    <w:rsid w:val="00D634BB"/>
    <w:rsid w:val="00D80D34"/>
    <w:rsid w:val="00D80E99"/>
    <w:rsid w:val="00D84182"/>
    <w:rsid w:val="00D85105"/>
    <w:rsid w:val="00D86715"/>
    <w:rsid w:val="00D86848"/>
    <w:rsid w:val="00D913D1"/>
    <w:rsid w:val="00D91B8A"/>
    <w:rsid w:val="00D94124"/>
    <w:rsid w:val="00D964BF"/>
    <w:rsid w:val="00D97D01"/>
    <w:rsid w:val="00DA106D"/>
    <w:rsid w:val="00DB316C"/>
    <w:rsid w:val="00DB378F"/>
    <w:rsid w:val="00DB455C"/>
    <w:rsid w:val="00DB652E"/>
    <w:rsid w:val="00DB6869"/>
    <w:rsid w:val="00DC0751"/>
    <w:rsid w:val="00DC126A"/>
    <w:rsid w:val="00DC2572"/>
    <w:rsid w:val="00DC25D4"/>
    <w:rsid w:val="00DD045E"/>
    <w:rsid w:val="00DD139F"/>
    <w:rsid w:val="00DD7DD6"/>
    <w:rsid w:val="00DE3815"/>
    <w:rsid w:val="00DE4277"/>
    <w:rsid w:val="00DE5496"/>
    <w:rsid w:val="00DF12D3"/>
    <w:rsid w:val="00DF641E"/>
    <w:rsid w:val="00E019A9"/>
    <w:rsid w:val="00E02909"/>
    <w:rsid w:val="00E02FB0"/>
    <w:rsid w:val="00E060AA"/>
    <w:rsid w:val="00E1431D"/>
    <w:rsid w:val="00E148F6"/>
    <w:rsid w:val="00E2179C"/>
    <w:rsid w:val="00E24617"/>
    <w:rsid w:val="00E247FF"/>
    <w:rsid w:val="00E262EA"/>
    <w:rsid w:val="00E32307"/>
    <w:rsid w:val="00E32D17"/>
    <w:rsid w:val="00E34954"/>
    <w:rsid w:val="00E36BBE"/>
    <w:rsid w:val="00E61F96"/>
    <w:rsid w:val="00E62C6B"/>
    <w:rsid w:val="00E67BB5"/>
    <w:rsid w:val="00E74B43"/>
    <w:rsid w:val="00E817AD"/>
    <w:rsid w:val="00E84A88"/>
    <w:rsid w:val="00E84CFB"/>
    <w:rsid w:val="00E91D53"/>
    <w:rsid w:val="00E94756"/>
    <w:rsid w:val="00E95455"/>
    <w:rsid w:val="00E97E56"/>
    <w:rsid w:val="00E97E88"/>
    <w:rsid w:val="00E97FD3"/>
    <w:rsid w:val="00EB625B"/>
    <w:rsid w:val="00EB6C61"/>
    <w:rsid w:val="00EC65E8"/>
    <w:rsid w:val="00EC7A17"/>
    <w:rsid w:val="00ED6797"/>
    <w:rsid w:val="00EE2461"/>
    <w:rsid w:val="00EE5585"/>
    <w:rsid w:val="00EE5785"/>
    <w:rsid w:val="00EF6322"/>
    <w:rsid w:val="00EF73F5"/>
    <w:rsid w:val="00F02337"/>
    <w:rsid w:val="00F06DD8"/>
    <w:rsid w:val="00F1134A"/>
    <w:rsid w:val="00F130FD"/>
    <w:rsid w:val="00F14732"/>
    <w:rsid w:val="00F14E16"/>
    <w:rsid w:val="00F25AD2"/>
    <w:rsid w:val="00F26321"/>
    <w:rsid w:val="00F3235F"/>
    <w:rsid w:val="00F34AA7"/>
    <w:rsid w:val="00F41247"/>
    <w:rsid w:val="00F42F79"/>
    <w:rsid w:val="00F545A1"/>
    <w:rsid w:val="00F55F8A"/>
    <w:rsid w:val="00F56C3B"/>
    <w:rsid w:val="00F63161"/>
    <w:rsid w:val="00F641A9"/>
    <w:rsid w:val="00F662A8"/>
    <w:rsid w:val="00F6735D"/>
    <w:rsid w:val="00F67446"/>
    <w:rsid w:val="00F737E0"/>
    <w:rsid w:val="00F77DCB"/>
    <w:rsid w:val="00F82F95"/>
    <w:rsid w:val="00F95779"/>
    <w:rsid w:val="00F95F15"/>
    <w:rsid w:val="00F960A4"/>
    <w:rsid w:val="00F97987"/>
    <w:rsid w:val="00FA0B76"/>
    <w:rsid w:val="00FA1A0E"/>
    <w:rsid w:val="00FA4529"/>
    <w:rsid w:val="00FB2EFD"/>
    <w:rsid w:val="00FB40CB"/>
    <w:rsid w:val="00FC28E2"/>
    <w:rsid w:val="00FC4BE4"/>
    <w:rsid w:val="00FC6D51"/>
    <w:rsid w:val="00FC7BD9"/>
    <w:rsid w:val="00FD1B88"/>
    <w:rsid w:val="00FD2343"/>
    <w:rsid w:val="00FD2A52"/>
    <w:rsid w:val="00FD4D64"/>
    <w:rsid w:val="00FE418D"/>
    <w:rsid w:val="00FE7A55"/>
    <w:rsid w:val="00FF1187"/>
    <w:rsid w:val="00FF2474"/>
    <w:rsid w:val="00FF266B"/>
    <w:rsid w:val="00FF385B"/>
    <w:rsid w:val="00FF4279"/>
    <w:rsid w:val="00FF58EB"/>
    <w:rsid w:val="00FF61C2"/>
    <w:rsid w:val="0106311E"/>
    <w:rsid w:val="04284FC8"/>
    <w:rsid w:val="10F0388B"/>
    <w:rsid w:val="134C4618"/>
    <w:rsid w:val="2994132A"/>
    <w:rsid w:val="2ECC056C"/>
    <w:rsid w:val="397366D4"/>
    <w:rsid w:val="5ACD1112"/>
    <w:rsid w:val="5EEA7E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link w:val="17"/>
    <w:unhideWhenUsed/>
    <w:qFormat/>
    <w:uiPriority w:val="0"/>
    <w:pPr>
      <w:widowControl/>
      <w:jc w:val="left"/>
    </w:pPr>
    <w:rPr>
      <w:rFonts w:ascii="宋体" w:hAnsi="宋体"/>
      <w:sz w:val="24"/>
    </w:rPr>
  </w:style>
  <w:style w:type="paragraph" w:styleId="10">
    <w:name w:val="annotation subject"/>
    <w:basedOn w:val="4"/>
    <w:next w:val="4"/>
    <w:link w:val="28"/>
    <w:semiHidden/>
    <w:unhideWhenUsed/>
    <w:qFormat/>
    <w:uiPriority w:val="99"/>
    <w:rPr>
      <w:b/>
      <w:bCs/>
    </w:rPr>
  </w:style>
  <w:style w:type="character" w:styleId="13">
    <w:name w:val="page number"/>
    <w:qFormat/>
    <w:uiPriority w:val="99"/>
    <w:rPr>
      <w:rFonts w:cs="Times New Roman"/>
    </w:rPr>
  </w:style>
  <w:style w:type="character" w:styleId="14">
    <w:name w:val="annotation reference"/>
    <w:semiHidden/>
    <w:unhideWhenUsed/>
    <w:qFormat/>
    <w:uiPriority w:val="99"/>
    <w:rPr>
      <w:sz w:val="21"/>
      <w:szCs w:val="21"/>
    </w:rPr>
  </w:style>
  <w:style w:type="character" w:customStyle="1" w:styleId="15">
    <w:name w:val="页眉 字符"/>
    <w:basedOn w:val="12"/>
    <w:link w:val="8"/>
    <w:qFormat/>
    <w:uiPriority w:val="0"/>
    <w:rPr>
      <w:sz w:val="18"/>
      <w:szCs w:val="18"/>
    </w:rPr>
  </w:style>
  <w:style w:type="character" w:customStyle="1" w:styleId="16">
    <w:name w:val="页脚 字符"/>
    <w:basedOn w:val="12"/>
    <w:link w:val="7"/>
    <w:qFormat/>
    <w:uiPriority w:val="0"/>
    <w:rPr>
      <w:sz w:val="18"/>
      <w:szCs w:val="18"/>
    </w:rPr>
  </w:style>
  <w:style w:type="character" w:customStyle="1" w:styleId="17">
    <w:name w:val="普通(网站) 字符"/>
    <w:link w:val="9"/>
    <w:qFormat/>
    <w:locked/>
    <w:uiPriority w:val="0"/>
    <w:rPr>
      <w:rFonts w:ascii="宋体" w:hAnsi="宋体" w:eastAsia="宋体" w:cs="Times New Roman"/>
      <w:sz w:val="24"/>
      <w:szCs w:val="24"/>
    </w:rPr>
  </w:style>
  <w:style w:type="character" w:customStyle="1" w:styleId="18">
    <w:name w:val="批注框文本 字符"/>
    <w:basedOn w:val="12"/>
    <w:link w:val="6"/>
    <w:semiHidden/>
    <w:qFormat/>
    <w:uiPriority w:val="99"/>
    <w:rPr>
      <w:rFonts w:ascii="Times New Roman" w:hAnsi="Times New Roman" w:eastAsia="宋体" w:cs="Times New Roman"/>
      <w:sz w:val="18"/>
      <w:szCs w:val="18"/>
    </w:rPr>
  </w:style>
  <w:style w:type="character" w:customStyle="1" w:styleId="19">
    <w:name w:val="日期 字符"/>
    <w:basedOn w:val="12"/>
    <w:link w:val="5"/>
    <w:semiHidden/>
    <w:qFormat/>
    <w:uiPriority w:val="99"/>
    <w:rPr>
      <w:rFonts w:ascii="Times New Roman" w:hAnsi="Times New Roman" w:eastAsia="宋体" w:cs="Times New Roman"/>
      <w:szCs w:val="24"/>
    </w:rPr>
  </w:style>
  <w:style w:type="paragraph" w:customStyle="1" w:styleId="20">
    <w:name w:val="00标题1"/>
    <w:basedOn w:val="2"/>
    <w:semiHidden/>
    <w:qFormat/>
    <w:uiPriority w:val="99"/>
    <w:pPr>
      <w:keepNext w:val="0"/>
      <w:keepLines w:val="0"/>
      <w:pageBreakBefore/>
      <w:tabs>
        <w:tab w:val="left" w:pos="1290"/>
      </w:tabs>
      <w:spacing w:beforeLines="100" w:after="0" w:line="480" w:lineRule="exact"/>
      <w:jc w:val="center"/>
    </w:pPr>
    <w:rPr>
      <w:rFonts w:ascii="楷体_GB2312" w:hAnsi="楷体_GB2312" w:eastAsia="Arial Narrow" w:cs="楷体_GB2312"/>
      <w:bCs w:val="0"/>
      <w:kern w:val="2"/>
      <w:sz w:val="32"/>
      <w:szCs w:val="20"/>
    </w:rPr>
  </w:style>
  <w:style w:type="character" w:customStyle="1" w:styleId="21">
    <w:name w:val="标题 1 字符"/>
    <w:basedOn w:val="12"/>
    <w:link w:val="2"/>
    <w:qFormat/>
    <w:uiPriority w:val="9"/>
    <w:rPr>
      <w:rFonts w:ascii="Times New Roman" w:hAnsi="Times New Roman" w:eastAsia="宋体" w:cs="Times New Roman"/>
      <w:b/>
      <w:bCs/>
      <w:kern w:val="44"/>
      <w:sz w:val="44"/>
      <w:szCs w:val="44"/>
    </w:rPr>
  </w:style>
  <w:style w:type="character" w:customStyle="1" w:styleId="22">
    <w:name w:val="第五级-正文 Char"/>
    <w:link w:val="23"/>
    <w:qFormat/>
    <w:locked/>
    <w:uiPriority w:val="0"/>
    <w:rPr>
      <w:rFonts w:ascii="Times New Roman" w:hAnsi="Times New Roman"/>
      <w:sz w:val="24"/>
    </w:rPr>
  </w:style>
  <w:style w:type="paragraph" w:customStyle="1" w:styleId="23">
    <w:name w:val="第五级-正文"/>
    <w:basedOn w:val="1"/>
    <w:link w:val="22"/>
    <w:qFormat/>
    <w:uiPriority w:val="0"/>
    <w:pPr>
      <w:spacing w:beforeLines="50" w:line="360" w:lineRule="auto"/>
      <w:ind w:firstLine="480" w:firstLineChars="200"/>
    </w:pPr>
    <w:rPr>
      <w:rFonts w:eastAsiaTheme="minorEastAsia" w:cstheme="minorBidi"/>
      <w:sz w:val="24"/>
      <w:szCs w:val="22"/>
    </w:r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5">
    <w:name w:val="标题 3 字符"/>
    <w:basedOn w:val="12"/>
    <w:link w:val="3"/>
    <w:semiHidden/>
    <w:qFormat/>
    <w:uiPriority w:val="9"/>
    <w:rPr>
      <w:rFonts w:ascii="Times New Roman" w:hAnsi="Times New Roman" w:eastAsia="宋体" w:cs="Times New Roman"/>
      <w:b/>
      <w:bCs/>
      <w:sz w:val="32"/>
      <w:szCs w:val="32"/>
    </w:rPr>
  </w:style>
  <w:style w:type="paragraph" w:customStyle="1" w:styleId="26">
    <w:name w:val="msonormal"/>
    <w:basedOn w:val="1"/>
    <w:qFormat/>
    <w:uiPriority w:val="0"/>
    <w:pPr>
      <w:widowControl/>
      <w:jc w:val="left"/>
    </w:pPr>
    <w:rPr>
      <w:rFonts w:ascii="宋体" w:hAnsi="宋体"/>
      <w:sz w:val="24"/>
    </w:rPr>
  </w:style>
  <w:style w:type="character" w:customStyle="1" w:styleId="27">
    <w:name w:val="批注文字 字符"/>
    <w:basedOn w:val="12"/>
    <w:link w:val="4"/>
    <w:semiHidden/>
    <w:qFormat/>
    <w:uiPriority w:val="99"/>
    <w:rPr>
      <w:rFonts w:ascii="Times New Roman" w:hAnsi="Times New Roman" w:eastAsia="宋体" w:cs="Times New Roman"/>
      <w:szCs w:val="24"/>
    </w:rPr>
  </w:style>
  <w:style w:type="character" w:customStyle="1" w:styleId="28">
    <w:name w:val="批注主题 字符"/>
    <w:basedOn w:val="27"/>
    <w:link w:val="10"/>
    <w:semiHidden/>
    <w:qFormat/>
    <w:uiPriority w:val="99"/>
    <w:rPr>
      <w:rFonts w:ascii="Times New Roman" w:hAnsi="Times New Roman" w:eastAsia="宋体" w:cs="Times New Roman"/>
      <w:b/>
      <w:bCs/>
      <w:szCs w:val="24"/>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11B33-14DB-4A45-AB7E-111BADB2D1C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5855</Words>
  <Characters>5890</Characters>
  <Lines>268</Lines>
  <Paragraphs>75</Paragraphs>
  <TotalTime>48</TotalTime>
  <ScaleCrop>false</ScaleCrop>
  <LinksUpToDate>false</LinksUpToDate>
  <CharactersWithSpaces>5918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2020-03-09T09:11:00Z</dcterms:created>
  <dc:creator>徐梦颖</dc:creator>
  <cp:lastModifiedBy>我是一个粉刷匠</cp:lastModifiedBy>
  <cp:lastPrinted>2020-03-31T03:06:00Z</cp:lastPrinted>
  <dcterms:modified xsi:type="dcterms:W3CDTF">2026-06-05T15:42:20Z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BC64A528E9D040F5BAD85875B7CEB4A9_13</vt:lpwstr>
  </property>
  <property fmtid="{D5CDD505-2E9C-101B-9397-08002B2CF9AE}" pid="4" name="KSOTemplateDocerSaveRecord">
    <vt:lpwstr>eyJoZGlkIjoiNTU0ZmIwYTQ3NzlmZGUxZmU3Zjk0M2IyZTNmM2IxNjAiLCJ1c2VySWQiOiIxMDIzNDcxMjkxIn0=</vt:lpwstr>
  </property>
</Properties>
</file>