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141E0">
      <w:pPr>
        <w:adjustRightInd w:val="0"/>
        <w:snapToGrid w:val="0"/>
        <w:spacing w:line="720" w:lineRule="exact"/>
        <w:jc w:val="center"/>
        <w:rPr>
          <w:rFonts w:eastAsia="方正小标宋_GBK" w:cs="Calibri"/>
          <w:sz w:val="44"/>
          <w:szCs w:val="44"/>
        </w:rPr>
      </w:pPr>
      <w:bookmarkStart w:id="0" w:name="_GoBack"/>
      <w:bookmarkEnd w:id="0"/>
      <w:r>
        <w:rPr>
          <w:rFonts w:hint="eastAsia" w:eastAsia="方正小标宋_GBK" w:cs="Calibri"/>
          <w:sz w:val="44"/>
          <w:szCs w:val="44"/>
        </w:rPr>
        <w:t>南京证券股份有限公司</w:t>
      </w:r>
    </w:p>
    <w:p w14:paraId="133A4B11">
      <w:pPr>
        <w:adjustRightInd w:val="0"/>
        <w:snapToGrid w:val="0"/>
        <w:spacing w:line="720" w:lineRule="exact"/>
        <w:jc w:val="center"/>
        <w:rPr>
          <w:rFonts w:eastAsia="方正小标宋_GBK" w:cs="Calibri"/>
          <w:sz w:val="44"/>
          <w:szCs w:val="44"/>
        </w:rPr>
      </w:pPr>
      <w:r>
        <w:rPr>
          <w:rFonts w:hint="eastAsia" w:eastAsia="方正小标宋_GBK" w:cs="Calibri"/>
          <w:sz w:val="44"/>
          <w:szCs w:val="44"/>
        </w:rPr>
        <w:t>上海风险警示股票交易风险揭示书</w:t>
      </w:r>
    </w:p>
    <w:p w14:paraId="262710BB">
      <w:pPr>
        <w:adjustRightInd w:val="0"/>
        <w:snapToGrid w:val="0"/>
        <w:spacing w:line="560" w:lineRule="exact"/>
        <w:jc w:val="center"/>
        <w:rPr>
          <w:rFonts w:eastAsia="方正小标宋_GBK" w:cs="Calibri"/>
          <w:sz w:val="44"/>
          <w:szCs w:val="44"/>
        </w:rPr>
      </w:pPr>
    </w:p>
    <w:p w14:paraId="0AA271C7">
      <w:pPr>
        <w:adjustRightInd w:val="0"/>
        <w:snapToGrid w:val="0"/>
        <w:spacing w:line="560" w:lineRule="exact"/>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尊敬的投资者：</w:t>
      </w:r>
    </w:p>
    <w:p w14:paraId="4BEA3F8F">
      <w:pPr>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风险警示股票具有较大风险，为了向您更具体的揭示</w:t>
      </w:r>
      <w:r>
        <w:rPr>
          <w:rFonts w:hint="eastAsia" w:ascii="方正仿宋_GBK" w:hAnsi="方正仿宋_GBK" w:eastAsia="方正仿宋_GBK" w:cs="方正仿宋_GBK"/>
          <w:color w:val="000000"/>
          <w:kern w:val="0"/>
          <w:sz w:val="32"/>
          <w:szCs w:val="32"/>
        </w:rPr>
        <w:t>该板块</w:t>
      </w:r>
      <w:r>
        <w:rPr>
          <w:rFonts w:hint="eastAsia" w:ascii="方正仿宋_GBK" w:hAnsi="方正仿宋_GBK" w:eastAsia="方正仿宋_GBK" w:cs="方正仿宋_GBK"/>
          <w:kern w:val="0"/>
          <w:sz w:val="32"/>
          <w:szCs w:val="32"/>
        </w:rPr>
        <w:t>，使您能够在充分知悉风险的前提下参与该板块交易，本公司根据上海证券交易所（以下简称“</w:t>
      </w:r>
      <w:r>
        <w:rPr>
          <w:rFonts w:hint="eastAsia" w:ascii="方正仿宋_GBK" w:hAnsi="方正仿宋_GBK" w:eastAsia="方正仿宋_GBK" w:cs="方正仿宋_GBK"/>
          <w:sz w:val="32"/>
          <w:szCs w:val="32"/>
        </w:rPr>
        <w:t>证券交易所</w:t>
      </w:r>
      <w:r>
        <w:rPr>
          <w:rFonts w:hint="eastAsia" w:ascii="方正仿宋_GBK" w:hAnsi="方正仿宋_GBK" w:eastAsia="方正仿宋_GBK" w:cs="方正仿宋_GBK"/>
          <w:kern w:val="0"/>
          <w:sz w:val="32"/>
          <w:szCs w:val="32"/>
        </w:rPr>
        <w:t>”）要求，依据相关法律、法规、规章和规则的规定，特提供本风险揭示书，请您认真阅读并签署。</w:t>
      </w:r>
    </w:p>
    <w:p w14:paraId="6D95583E">
      <w:pPr>
        <w:pStyle w:val="2"/>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一、投资者在参与风险警示股票交易前，应充分了解风险警示股票交易规定和相关上市公司的基本面情况，并根据自身财务状况、实际需求及风险承受能力等，审慎考虑是否买入风险警示股票。</w:t>
      </w:r>
    </w:p>
    <w:p w14:paraId="419EAD35">
      <w:pPr>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二、投资者在参与风险警示股票交易前，应充分了解投资者买卖风险警示股票应当采用限价委托的方式。</w:t>
      </w:r>
    </w:p>
    <w:p w14:paraId="1C2B899F">
      <w:pPr>
        <w:pStyle w:val="2"/>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三</w:t>
      </w:r>
      <w:r>
        <w:rPr>
          <w:rFonts w:hint="eastAsia" w:ascii="方正仿宋_GBK" w:hAnsi="方正仿宋_GBK" w:eastAsia="方正仿宋_GBK" w:cs="方正仿宋_GBK"/>
          <w:kern w:val="0"/>
          <w:sz w:val="32"/>
          <w:szCs w:val="32"/>
        </w:rPr>
        <w:t>、投资者当日</w:t>
      </w:r>
      <w:r>
        <w:rPr>
          <w:rFonts w:hint="eastAsia" w:ascii="方正仿宋_GBK" w:hAnsi="方正仿宋_GBK" w:eastAsia="方正仿宋_GBK" w:cs="方正仿宋_GBK"/>
          <w:color w:val="000000"/>
          <w:sz w:val="32"/>
          <w:szCs w:val="32"/>
        </w:rPr>
        <w:t>通过竞价交易</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大宗交易和盘后固定价格交易</w:t>
      </w:r>
      <w:r>
        <w:rPr>
          <w:rFonts w:hint="eastAsia" w:ascii="方正仿宋_GBK" w:hAnsi="方正仿宋_GBK" w:eastAsia="方正仿宋_GBK" w:cs="方正仿宋_GBK"/>
          <w:kern w:val="0"/>
          <w:sz w:val="32"/>
          <w:szCs w:val="32"/>
        </w:rPr>
        <w:t>累计买入的单只风险警示股票，数量不得超过</w:t>
      </w:r>
      <w:r>
        <w:rPr>
          <w:rFonts w:ascii="Times New Roman" w:hAnsi="Times New Roman" w:eastAsia="方正仿宋_GBK"/>
          <w:kern w:val="0"/>
          <w:sz w:val="32"/>
          <w:szCs w:val="32"/>
        </w:rPr>
        <w:t>50</w:t>
      </w:r>
      <w:r>
        <w:rPr>
          <w:rFonts w:hint="eastAsia" w:ascii="Times New Roman" w:hAnsi="Times New Roman" w:eastAsia="方正仿宋_GBK"/>
          <w:kern w:val="0"/>
          <w:sz w:val="32"/>
          <w:szCs w:val="32"/>
        </w:rPr>
        <w:t>万股。</w:t>
      </w:r>
      <w:r>
        <w:rPr>
          <w:rFonts w:hint="eastAsia" w:ascii="Times New Roman" w:hAnsi="Times New Roman" w:eastAsia="方正仿宋_GBK"/>
          <w:color w:val="000000"/>
          <w:sz w:val="32"/>
          <w:szCs w:val="32"/>
        </w:rPr>
        <w:t>投资者当日累计买入风险警示股票数量，按照该投资者以本人名义开立的证券账户与融资融券信用证券账户的买入量合并计算；投资者委托买入数量与当日已买入数量及已申报买入但尚未成交、也未撤销的数量之和，不得超过</w:t>
      </w:r>
      <w:r>
        <w:rPr>
          <w:rFonts w:ascii="Times New Roman" w:hAnsi="Times New Roman" w:eastAsia="方正仿宋_GBK"/>
          <w:color w:val="000000"/>
          <w:sz w:val="32"/>
          <w:szCs w:val="32"/>
        </w:rPr>
        <w:t>50</w:t>
      </w:r>
      <w:r>
        <w:rPr>
          <w:rFonts w:hint="eastAsia" w:ascii="Times New Roman" w:hAnsi="Times New Roman" w:eastAsia="方正仿宋_GBK"/>
          <w:color w:val="000000"/>
          <w:sz w:val="32"/>
          <w:szCs w:val="32"/>
        </w:rPr>
        <w:t>万股</w:t>
      </w:r>
      <w:r>
        <w:rPr>
          <w:rFonts w:hint="eastAsia" w:ascii="方正仿宋_GBK" w:hAnsi="方正仿宋_GBK" w:eastAsia="方正仿宋_GBK" w:cs="方正仿宋_GBK"/>
          <w:color w:val="000000"/>
          <w:sz w:val="32"/>
          <w:szCs w:val="32"/>
        </w:rPr>
        <w:t>。上市公司回购股份、</w:t>
      </w:r>
      <w:r>
        <w:rPr>
          <w:rFonts w:hint="default" w:ascii="Times New Roman" w:hAnsi="Times New Roman" w:eastAsia="方正仿宋_GBK" w:cs="Times New Roman"/>
          <w:color w:val="000000"/>
          <w:sz w:val="32"/>
          <w:szCs w:val="32"/>
        </w:rPr>
        <w:t>5%</w:t>
      </w:r>
      <w:r>
        <w:rPr>
          <w:rFonts w:hint="eastAsia" w:ascii="方正仿宋_GBK" w:hAnsi="方正仿宋_GBK" w:eastAsia="方正仿宋_GBK" w:cs="方正仿宋_GBK"/>
          <w:color w:val="000000"/>
          <w:sz w:val="32"/>
          <w:szCs w:val="32"/>
        </w:rPr>
        <w:t>以上股东根据已披露的增持计划增持股份可不受前述</w:t>
      </w:r>
      <w:r>
        <w:rPr>
          <w:rFonts w:hint="default" w:ascii="Times New Roman" w:hAnsi="Times New Roman" w:eastAsia="方正仿宋_GBK" w:cs="Times New Roman"/>
          <w:color w:val="000000"/>
          <w:sz w:val="32"/>
          <w:szCs w:val="32"/>
        </w:rPr>
        <w:t>50</w:t>
      </w:r>
      <w:r>
        <w:rPr>
          <w:rFonts w:hint="eastAsia" w:ascii="方正仿宋_GBK" w:hAnsi="方正仿宋_GBK" w:eastAsia="方正仿宋_GBK" w:cs="方正仿宋_GBK"/>
          <w:color w:val="000000"/>
          <w:sz w:val="32"/>
          <w:szCs w:val="32"/>
        </w:rPr>
        <w:t>万股买入限制。</w:t>
      </w:r>
    </w:p>
    <w:p w14:paraId="02B11B7A">
      <w:pPr>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四</w:t>
      </w:r>
      <w:r>
        <w:rPr>
          <w:rFonts w:hint="eastAsia" w:ascii="方正仿宋_GBK" w:hAnsi="方正仿宋_GBK" w:eastAsia="方正仿宋_GBK" w:cs="方正仿宋_GBK"/>
          <w:kern w:val="0"/>
          <w:sz w:val="32"/>
          <w:szCs w:val="32"/>
        </w:rPr>
        <w:t>、投资者应当特别关注上市公司发布的风险提示性公告，及时从符合中国证监会规定条件的媒体等渠道获取相关信息。</w:t>
      </w:r>
    </w:p>
    <w:p w14:paraId="71901727">
      <w:pPr>
        <w:pStyle w:val="2"/>
        <w:adjustRightInd w:val="0"/>
        <w:snapToGrid w:val="0"/>
        <w:spacing w:line="56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五</w:t>
      </w:r>
      <w:r>
        <w:rPr>
          <w:rFonts w:hint="eastAsia" w:ascii="方正仿宋_GBK" w:hAnsi="方正仿宋_GBK" w:eastAsia="方正仿宋_GBK" w:cs="方正仿宋_GBK"/>
          <w:kern w:val="0"/>
          <w:sz w:val="32"/>
          <w:szCs w:val="32"/>
        </w:rPr>
        <w:t>、风险警示股票相关法律、行政法规、部门规章、规范性文件（以下简称“法律法规”）、证券交易所和登记结算机构业务规则可能根据市场情况进行制定、废止和修改，投资者应当及时予以关注和了解。</w:t>
      </w:r>
    </w:p>
    <w:p w14:paraId="79BF7D3D">
      <w:pPr>
        <w:pStyle w:val="2"/>
        <w:adjustRightInd w:val="0"/>
        <w:snapToGrid w:val="0"/>
        <w:spacing w:line="560" w:lineRule="exact"/>
        <w:ind w:firstLine="640" w:firstLineChars="200"/>
        <w:rPr>
          <w:rFonts w:ascii="方正仿宋_GBK" w:hAnsi="方正仿宋_GBK" w:eastAsia="方正仿宋_GBK" w:cs="方正仿宋_GBK"/>
          <w:kern w:val="0"/>
          <w:sz w:val="32"/>
          <w:szCs w:val="32"/>
        </w:rPr>
      </w:pPr>
    </w:p>
    <w:p w14:paraId="6818591A">
      <w:pPr>
        <w:adjustRightInd w:val="0"/>
        <w:snapToGrid w:val="0"/>
        <w:spacing w:line="560" w:lineRule="exact"/>
        <w:ind w:firstLine="643" w:firstLineChars="200"/>
        <w:rPr>
          <w:rFonts w:ascii="方正仿宋_GBK" w:hAnsi="方正仿宋_GBK" w:eastAsia="方正仿宋_GBK" w:cs="方正仿宋_GBK"/>
          <w:b/>
          <w:kern w:val="0"/>
          <w:sz w:val="32"/>
          <w:szCs w:val="32"/>
        </w:rPr>
      </w:pPr>
      <w:r>
        <w:rPr>
          <w:rFonts w:hint="eastAsia" w:ascii="方正仿宋_GBK" w:hAnsi="方正仿宋_GBK" w:eastAsia="方正仿宋_GBK" w:cs="方正仿宋_GBK"/>
          <w:b/>
          <w:kern w:val="0"/>
          <w:sz w:val="32"/>
          <w:szCs w:val="32"/>
        </w:rPr>
        <w:t>本《风险揭示书》的揭示事项仅为列举性质，未能详尽列明风险警示股票交易的所有风险，</w:t>
      </w:r>
      <w:r>
        <w:rPr>
          <w:rFonts w:hint="eastAsia" w:ascii="方正仿宋_GBK" w:eastAsia="方正仿宋_GBK"/>
          <w:b/>
          <w:sz w:val="32"/>
          <w:szCs w:val="32"/>
        </w:rPr>
        <w:t>且未来有关法律法规和业务规则修订时可能不会要求您重新签署《风险揭示书》。</w:t>
      </w:r>
      <w:r>
        <w:rPr>
          <w:rFonts w:hint="eastAsia" w:ascii="方正仿宋_GBK" w:hAnsi="方正仿宋_GBK" w:eastAsia="方正仿宋_GBK" w:cs="方正仿宋_GBK"/>
          <w:b/>
          <w:kern w:val="0"/>
          <w:sz w:val="32"/>
          <w:szCs w:val="32"/>
        </w:rPr>
        <w:t>投资者在参与交易前，应当认真阅读信息披露公告、业务协议、产品说明书等法律文件，熟悉该项业务相关法律法规、交易所相关业务规则等，对其他可能存在的风险因素也应当有所了解和掌握，并确信自己已做好足够的风险控制与财务安排，避免因参与风险警示股票交易遭受难以承受的风险和损失。</w:t>
      </w:r>
    </w:p>
    <w:p w14:paraId="40DAF95A">
      <w:pPr>
        <w:adjustRightInd w:val="0"/>
        <w:snapToGrid w:val="0"/>
        <w:spacing w:line="560" w:lineRule="exact"/>
        <w:ind w:firstLine="643" w:firstLineChars="200"/>
        <w:rPr>
          <w:rFonts w:ascii="方正仿宋_GBK" w:hAnsi="Courier New" w:eastAsia="方正仿宋_GBK"/>
          <w:b/>
          <w:bCs/>
          <w:color w:val="000000" w:themeColor="text1"/>
          <w:kern w:val="0"/>
          <w:sz w:val="32"/>
          <w:szCs w:val="32"/>
          <w14:textFill>
            <w14:solidFill>
              <w14:schemeClr w14:val="tx1"/>
            </w14:solidFill>
          </w14:textFill>
        </w:rPr>
      </w:pPr>
      <w:r>
        <w:rPr>
          <w:rFonts w:hint="eastAsia" w:ascii="方正仿宋_GBK" w:hAnsi="Courier New" w:eastAsia="方正仿宋_GBK"/>
          <w:b/>
          <w:bCs/>
          <w:color w:val="000000" w:themeColor="text1"/>
          <w:kern w:val="0"/>
          <w:sz w:val="32"/>
          <w:szCs w:val="32"/>
          <w14:textFill>
            <w14:solidFill>
              <w14:schemeClr w14:val="tx1"/>
            </w14:solidFill>
          </w14:textFill>
        </w:rPr>
        <w:t>投资者应提高对非法证券活动的识别判断能力，务必注意风险，在遇到类似非法证券活动时，应及时向中国证监会驻当地的派出机构进行咨询或举报，自觉做到知法、懂法、守法，不被虚假宣传所迷惑，不参与非法证券活动，避免上当受骗，保护自身合法权益不受侵害。</w:t>
      </w:r>
    </w:p>
    <w:p w14:paraId="7504473D">
      <w:pPr>
        <w:adjustRightInd w:val="0"/>
        <w:snapToGrid w:val="0"/>
        <w:spacing w:line="56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特别提示：为了方便本公司更加及时全面的向您进行风险警示股票的风险揭示，请您下载本公司系统支持完备的交易软件进行风险警示股票的交易。</w:t>
      </w:r>
    </w:p>
    <w:p w14:paraId="7DA8DF07">
      <w:pPr>
        <w:adjustRightInd w:val="0"/>
        <w:snapToGrid w:val="0"/>
        <w:spacing w:line="560" w:lineRule="exact"/>
        <w:ind w:firstLine="640" w:firstLineChars="200"/>
        <w:rPr>
          <w:rFonts w:ascii="方正仿宋_GBK" w:hAnsi="方正仿宋_GBK" w:eastAsia="方正仿宋_GBK" w:cs="方正仿宋_GBK"/>
          <w:kern w:val="0"/>
          <w:sz w:val="32"/>
          <w:szCs w:val="32"/>
        </w:rPr>
      </w:pPr>
    </w:p>
    <w:p w14:paraId="09EC8469">
      <w:pPr>
        <w:adjustRightInd w:val="0"/>
        <w:snapToGrid w:val="0"/>
        <w:spacing w:line="560" w:lineRule="exact"/>
        <w:ind w:firstLine="643" w:firstLineChars="200"/>
        <w:rPr>
          <w:rFonts w:ascii="方正仿宋_GBK" w:hAnsi="方正仿宋_GBK" w:eastAsia="方正仿宋_GBK" w:cs="方正仿宋_GBK"/>
          <w:b/>
          <w:bCs/>
          <w:kern w:val="0"/>
          <w:sz w:val="32"/>
          <w:szCs w:val="32"/>
        </w:rPr>
      </w:pPr>
      <w:r>
        <w:rPr>
          <w:rFonts w:hint="eastAsia" w:ascii="方正仿宋_GBK" w:hAnsi="方正仿宋_GBK" w:eastAsia="方正仿宋_GBK" w:cs="方正仿宋_GBK"/>
          <w:b/>
          <w:bCs/>
          <w:kern w:val="0"/>
          <w:sz w:val="32"/>
          <w:szCs w:val="32"/>
        </w:rPr>
        <w:t>投资者确认已知晓并理解《风险揭示书》的全部内容，在本《风险揭示书》上签字，即表明投资者已经理解并愿意自行承担参与风险警示股票交易的风险和损失。</w:t>
      </w:r>
    </w:p>
    <w:p w14:paraId="543AB628">
      <w:pPr>
        <w:adjustRightInd w:val="0"/>
        <w:snapToGrid w:val="0"/>
        <w:spacing w:line="560" w:lineRule="exact"/>
        <w:ind w:firstLine="643" w:firstLineChars="200"/>
        <w:jc w:val="left"/>
        <w:rPr>
          <w:rFonts w:ascii="方正仿宋_GBK" w:hAnsi="方正仿宋_GBK" w:eastAsia="方正仿宋_GBK" w:cs="方正仿宋_GBK"/>
          <w:b/>
          <w:bCs/>
          <w:kern w:val="0"/>
          <w:sz w:val="32"/>
          <w:szCs w:val="32"/>
        </w:rPr>
      </w:pPr>
    </w:p>
    <w:p w14:paraId="7801A793">
      <w:pPr>
        <w:adjustRightInd w:val="0"/>
        <w:snapToGrid w:val="0"/>
        <w:spacing w:line="560" w:lineRule="exact"/>
        <w:ind w:firstLine="643" w:firstLineChars="200"/>
        <w:jc w:val="left"/>
        <w:rPr>
          <w:rFonts w:ascii="方正仿宋_GBK" w:hAnsi="方正仿宋_GBK" w:eastAsia="方正仿宋_GBK" w:cs="方正仿宋_GBK"/>
          <w:b/>
          <w:bCs/>
          <w:kern w:val="0"/>
          <w:sz w:val="32"/>
          <w:szCs w:val="32"/>
        </w:rPr>
      </w:pPr>
    </w:p>
    <w:p w14:paraId="087C5F28">
      <w:pPr>
        <w:adjustRightInd w:val="0"/>
        <w:snapToGrid w:val="0"/>
        <w:spacing w:line="560" w:lineRule="exact"/>
        <w:jc w:val="left"/>
        <w:rPr>
          <w:rFonts w:ascii="方正仿宋_GBK" w:hAnsi="方正仿宋_GBK" w:eastAsia="方正仿宋_GBK" w:cs="方正仿宋_GBK"/>
          <w:kern w:val="0"/>
          <w:sz w:val="32"/>
          <w:szCs w:val="32"/>
        </w:rPr>
      </w:pPr>
    </w:p>
    <w:p w14:paraId="736BE3B2">
      <w:pPr>
        <w:adjustRightInd w:val="0"/>
        <w:snapToGrid w:val="0"/>
        <w:spacing w:line="560" w:lineRule="exact"/>
        <w:ind w:right="1280" w:firstLine="4480" w:firstLineChars="1400"/>
        <w:jc w:val="left"/>
        <w:rPr>
          <w:rFonts w:ascii="方正仿宋_GBK" w:hAnsi="仿宋" w:eastAsia="方正仿宋_GBK"/>
          <w:color w:val="000000" w:themeColor="text1"/>
          <w:sz w:val="32"/>
          <w:szCs w:val="32"/>
          <w14:textFill>
            <w14:solidFill>
              <w14:schemeClr w14:val="tx1"/>
            </w14:solidFill>
          </w14:textFill>
        </w:rPr>
      </w:pPr>
      <w:r>
        <w:rPr>
          <w:rFonts w:hint="eastAsia" w:ascii="方正仿宋_GBK" w:hAnsi="仿宋" w:eastAsia="方正仿宋_GBK"/>
          <w:color w:val="000000" w:themeColor="text1"/>
          <w:sz w:val="32"/>
          <w:szCs w:val="32"/>
          <w14:textFill>
            <w14:solidFill>
              <w14:schemeClr w14:val="tx1"/>
            </w14:solidFill>
          </w14:textFill>
        </w:rPr>
        <w:t>投资者：</w:t>
      </w:r>
    </w:p>
    <w:p w14:paraId="7E886176">
      <w:pPr>
        <w:adjustRightInd w:val="0"/>
        <w:snapToGrid w:val="0"/>
        <w:spacing w:line="560" w:lineRule="exact"/>
        <w:ind w:right="1280" w:firstLine="640" w:firstLineChars="200"/>
        <w:jc w:val="center"/>
        <w:rPr>
          <w:rFonts w:ascii="方正仿宋_GBK" w:hAnsi="仿宋" w:eastAsia="方正仿宋_GBK"/>
          <w:color w:val="000000" w:themeColor="text1"/>
          <w:sz w:val="32"/>
          <w:szCs w:val="32"/>
          <w14:textFill>
            <w14:solidFill>
              <w14:schemeClr w14:val="tx1"/>
            </w14:solidFill>
          </w14:textFill>
        </w:rPr>
      </w:pPr>
    </w:p>
    <w:p w14:paraId="21EF2D54">
      <w:pPr>
        <w:adjustRightInd w:val="0"/>
        <w:snapToGrid w:val="0"/>
        <w:spacing w:line="560" w:lineRule="exact"/>
        <w:jc w:val="right"/>
        <w:rPr>
          <w:rFonts w:ascii="方正仿宋_GBK" w:hAnsi="仿宋" w:eastAsia="方正仿宋_GBK"/>
          <w:color w:val="000000" w:themeColor="text1"/>
          <w:sz w:val="32"/>
          <w:szCs w:val="32"/>
          <w14:textFill>
            <w14:solidFill>
              <w14:schemeClr w14:val="tx1"/>
            </w14:solidFill>
          </w14:textFill>
        </w:rPr>
      </w:pPr>
      <w:r>
        <w:rPr>
          <w:rFonts w:hint="eastAsia" w:ascii="方正仿宋_GBK" w:hAnsi="仿宋" w:eastAsia="方正仿宋_GBK"/>
          <w:color w:val="000000" w:themeColor="text1"/>
          <w:sz w:val="32"/>
          <w:szCs w:val="32"/>
          <w14:textFill>
            <w14:solidFill>
              <w14:schemeClr w14:val="tx1"/>
            </w14:solidFill>
          </w14:textFill>
        </w:rPr>
        <w:t>（自然人投资者签字/非自然人投资者盖章及经办人签字）</w:t>
      </w:r>
    </w:p>
    <w:p w14:paraId="7329E098">
      <w:pPr>
        <w:adjustRightInd w:val="0"/>
        <w:snapToGrid w:val="0"/>
        <w:spacing w:line="560" w:lineRule="exact"/>
        <w:ind w:firstLine="640" w:firstLineChars="200"/>
        <w:jc w:val="center"/>
        <w:rPr>
          <w:rFonts w:ascii="方正仿宋_GBK" w:hAnsi="仿宋" w:eastAsia="方正仿宋_GBK"/>
          <w:color w:val="000000" w:themeColor="text1"/>
          <w:sz w:val="32"/>
          <w:szCs w:val="32"/>
          <w14:textFill>
            <w14:solidFill>
              <w14:schemeClr w14:val="tx1"/>
            </w14:solidFill>
          </w14:textFill>
        </w:rPr>
      </w:pPr>
    </w:p>
    <w:p w14:paraId="0CA0B526">
      <w:pPr>
        <w:wordWrap w:val="0"/>
        <w:adjustRightInd w:val="0"/>
        <w:snapToGrid w:val="0"/>
        <w:spacing w:line="560" w:lineRule="exact"/>
        <w:ind w:firstLine="640" w:firstLineChars="200"/>
        <w:jc w:val="right"/>
        <w:rPr>
          <w:rFonts w:eastAsia="仿宋_GB2312"/>
          <w:kern w:val="0"/>
          <w:sz w:val="32"/>
          <w:szCs w:val="32"/>
        </w:rPr>
      </w:pPr>
      <w:r>
        <w:rPr>
          <w:rFonts w:hint="eastAsia" w:ascii="方正仿宋_GBK" w:hAnsi="仿宋" w:eastAsia="方正仿宋_GBK"/>
          <w:color w:val="000000" w:themeColor="text1"/>
          <w:sz w:val="32"/>
          <w:szCs w:val="32"/>
          <w14:textFill>
            <w14:solidFill>
              <w14:schemeClr w14:val="tx1"/>
            </w14:solidFill>
          </w14:textFill>
        </w:rPr>
        <w:t xml:space="preserve">签署日期：    年  月  日    </w:t>
      </w:r>
    </w:p>
    <w:p w14:paraId="6DAB79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281CDEE8-C32A-4E39-8731-82C9DA96ABC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B7AF367-9496-4F13-AB34-E2FF6A0C7DC9}"/>
  </w:font>
  <w:font w:name="方正仿宋_GBK">
    <w:panose1 w:val="02000000000000000000"/>
    <w:charset w:val="86"/>
    <w:family w:val="script"/>
    <w:pitch w:val="default"/>
    <w:sig w:usb0="A00002BF" w:usb1="38CF7CFA" w:usb2="00082016" w:usb3="00000000" w:csb0="00040001" w:csb1="00000000"/>
    <w:embedRegular r:id="rId3" w:fontKey="{AF45AE6E-71C9-4B4A-8D4E-D7A5C52FD5BD}"/>
  </w:font>
  <w:font w:name="方正小标宋_GBK">
    <w:panose1 w:val="02000000000000000000"/>
    <w:charset w:val="86"/>
    <w:family w:val="script"/>
    <w:pitch w:val="default"/>
    <w:sig w:usb0="A00002BF" w:usb1="38CF7CFA" w:usb2="00082016" w:usb3="00000000" w:csb0="00040001" w:csb1="00000000"/>
    <w:embedRegular r:id="rId4" w:fontKey="{ABCBC72D-05AC-4C9F-A770-DE3DA44FE443}"/>
  </w:font>
  <w:font w:name="仿宋">
    <w:panose1 w:val="02010609060101010101"/>
    <w:charset w:val="86"/>
    <w:family w:val="modern"/>
    <w:pitch w:val="default"/>
    <w:sig w:usb0="800002BF" w:usb1="38CF7CFA" w:usb2="00000016" w:usb3="00000000" w:csb0="00040001" w:csb1="00000000"/>
    <w:embedRegular r:id="rId5" w:fontKey="{AE7F2EDE-FF8B-4782-B565-D373C2264B36}"/>
  </w:font>
  <w:font w:name="仿宋_GB2312">
    <w:altName w:val="仿宋"/>
    <w:panose1 w:val="00000000000000000000"/>
    <w:charset w:val="86"/>
    <w:family w:val="modern"/>
    <w:pitch w:val="default"/>
    <w:sig w:usb0="00000000" w:usb1="00000000" w:usb2="00000010" w:usb3="00000000" w:csb0="00040000" w:csb1="00000000"/>
    <w:embedRegular r:id="rId6" w:fontKey="{0EB75031-A6FE-42A3-8A1D-AA8049BBE8CA}"/>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67"/>
    <w:rsid w:val="00047CB4"/>
    <w:rsid w:val="00094E73"/>
    <w:rsid w:val="003A0467"/>
    <w:rsid w:val="003E52E4"/>
    <w:rsid w:val="004530FC"/>
    <w:rsid w:val="004811AF"/>
    <w:rsid w:val="005A47D7"/>
    <w:rsid w:val="00706B42"/>
    <w:rsid w:val="008E21A2"/>
    <w:rsid w:val="009C156F"/>
    <w:rsid w:val="00A95A49"/>
    <w:rsid w:val="00AC3E94"/>
    <w:rsid w:val="00C1126D"/>
    <w:rsid w:val="00D979D2"/>
    <w:rsid w:val="00E82941"/>
    <w:rsid w:val="00ED435D"/>
    <w:rsid w:val="00FD4632"/>
    <w:rsid w:val="0E2656D1"/>
    <w:rsid w:val="190F5677"/>
    <w:rsid w:val="1BA36420"/>
    <w:rsid w:val="327E32BA"/>
    <w:rsid w:val="3418657F"/>
    <w:rsid w:val="49C27B38"/>
    <w:rsid w:val="4E165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1"/>
    <w:semiHidden/>
    <w:unhideWhenUsed/>
    <w:qFormat/>
    <w:uiPriority w:val="0"/>
    <w:rPr>
      <w:rFonts w:ascii="宋体" w:hAnsi="Courier New"/>
      <w:szCs w:val="20"/>
    </w:r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Strong"/>
    <w:basedOn w:val="7"/>
    <w:qFormat/>
    <w:uiPriority w:val="22"/>
    <w:rPr>
      <w:b/>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纯文本 Char"/>
    <w:basedOn w:val="7"/>
    <w:link w:val="2"/>
    <w:semiHidden/>
    <w:qFormat/>
    <w:uiPriority w:val="0"/>
    <w:rPr>
      <w:rFonts w:ascii="宋体" w:hAnsi="Courier New" w:eastAsia="宋体" w:cs="Times New Roman"/>
      <w:szCs w:val="20"/>
    </w:rPr>
  </w:style>
  <w:style w:type="character" w:customStyle="1" w:styleId="12">
    <w:name w:val="批注框文本 Char"/>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1177</Words>
  <Characters>1181</Characters>
  <Lines>8</Lines>
  <Paragraphs>2</Paragraphs>
  <TotalTime>240</TotalTime>
  <ScaleCrop>false</ScaleCrop>
  <LinksUpToDate>false</LinksUpToDate>
  <CharactersWithSpaces>1193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2023-02-20T06:29:00Z</dcterms:created>
  <dc:creator>user</dc:creator>
  <cp:lastModifiedBy>Cannibal</cp:lastModifiedBy>
  <dcterms:modified xsi:type="dcterms:W3CDTF">2026-07-02T07:51:26Z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eyJoZGlkIjoiNDE4YWY1Y2RmOTRjOWUzN2E5MzQ2OWExM2FiMjU4YjMiLCJ1c2VySWQiOiI0NTEwMTY4ODEifQ==</vt:lpwstr>
  </property>
  <property fmtid="{D5CDD505-2E9C-101B-9397-08002B2CF9AE}" pid="3" name="KSOProductBuildVer">
    <vt:lpwstr>2052-12.1.0.26895</vt:lpwstr>
  </property>
  <property fmtid="{D5CDD505-2E9C-101B-9397-08002B2CF9AE}" pid="4" name="ICV">
    <vt:lpwstr>53D59149381F4C069EF737CF2D4C057A_12</vt:lpwstr>
  </property>
</Properties>
</file>