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141E0">
      <w:pPr>
        <w:widowControl/>
        <w:adjustRightInd w:val="0"/>
        <w:snapToGrid w:val="0"/>
        <w:spacing w:line="720" w:lineRule="exact"/>
        <w:jc w:val="center"/>
        <w:rPr>
          <w:rFonts w:hint="eastAsia" w:eastAsia="方正小标宋_GBK" w:cs="Calibri"/>
          <w:sz w:val="44"/>
          <w:szCs w:val="44"/>
        </w:rPr>
      </w:pPr>
      <w:bookmarkStart w:id="0" w:name="_GoBack"/>
      <w:bookmarkEnd w:id="0"/>
      <w:r>
        <w:rPr>
          <w:rFonts w:hint="eastAsia" w:eastAsia="方正小标宋_GBK" w:cs="Calibri"/>
          <w:sz w:val="44"/>
          <w:szCs w:val="44"/>
        </w:rPr>
        <w:t>南京证券股份有限公司</w:t>
      </w:r>
    </w:p>
    <w:p w14:paraId="6C05F501">
      <w:pPr>
        <w:widowControl/>
        <w:adjustRightInd w:val="0"/>
        <w:snapToGrid w:val="0"/>
        <w:spacing w:line="720" w:lineRule="exact"/>
        <w:jc w:val="center"/>
        <w:rPr>
          <w:rFonts w:eastAsia="方正小标宋_GBK" w:cs="Calibri"/>
          <w:sz w:val="44"/>
          <w:szCs w:val="44"/>
        </w:rPr>
      </w:pPr>
      <w:r>
        <w:rPr>
          <w:rFonts w:hint="eastAsia" w:eastAsia="方正小标宋_GBK" w:cs="Calibri"/>
          <w:sz w:val="44"/>
          <w:szCs w:val="44"/>
        </w:rPr>
        <w:t>深圳风险警示股票交易风险揭示书</w:t>
      </w:r>
    </w:p>
    <w:p w14:paraId="4A9076B6">
      <w:pPr>
        <w:adjustRightInd w:val="0"/>
        <w:snapToGrid w:val="0"/>
        <w:spacing w:line="560" w:lineRule="exact"/>
        <w:jc w:val="center"/>
        <w:rPr>
          <w:rFonts w:eastAsia="方正小标宋_GBK" w:cs="Calibri"/>
          <w:sz w:val="44"/>
          <w:szCs w:val="44"/>
        </w:rPr>
      </w:pPr>
    </w:p>
    <w:p w14:paraId="3213A337">
      <w:pPr>
        <w:adjustRightInd w:val="0"/>
        <w:snapToGrid w:val="0"/>
        <w:spacing w:line="560" w:lineRule="exact"/>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尊敬的投资者：</w:t>
      </w:r>
    </w:p>
    <w:p w14:paraId="36AB7EFF">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风险警示股票具有较大风险，为了向您更具体的揭示该板块，使您能够在充分知悉风险的前提下参与该板块交易，本公司根据深圳证券交易所（以下简称“</w:t>
      </w:r>
      <w:r>
        <w:rPr>
          <w:rFonts w:hint="eastAsia" w:ascii="方正仿宋_GBK" w:hAnsi="方正仿宋_GBK" w:eastAsia="方正仿宋_GBK" w:cs="方正仿宋_GBK"/>
          <w:sz w:val="32"/>
          <w:szCs w:val="32"/>
        </w:rPr>
        <w:t>证券交易所</w:t>
      </w:r>
      <w:r>
        <w:rPr>
          <w:rFonts w:hint="eastAsia" w:ascii="方正仿宋_GBK" w:hAnsi="方正仿宋_GBK" w:eastAsia="方正仿宋_GBK" w:cs="方正仿宋_GBK"/>
          <w:kern w:val="0"/>
          <w:sz w:val="32"/>
          <w:szCs w:val="32"/>
        </w:rPr>
        <w:t>”）要求，依据相关法律、法规、规章和规则的规定，特提供本风险揭示书，请您认真阅读并签署。</w:t>
      </w:r>
    </w:p>
    <w:p w14:paraId="078D9977">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一、投资者在参与风险警示股票交易前，应充分了解风险警示制度、风险警示股票交易规定和被实施风险警示上市公司的基本面情况，并根据自身财务状况、实际需求及风险承受能力等，审慎考虑是否买入风险警示股票。</w:t>
      </w:r>
    </w:p>
    <w:p w14:paraId="450D0C20">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二、上市公司出现财务状况或者其他状况异常，导致其股票存在终止上市风险，或者投资者难以判断公司前景，其投资权益可能受到损害的，证券交易所可以对该公司股票交易实施风险警示。</w:t>
      </w:r>
    </w:p>
    <w:p w14:paraId="492BC55B">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三、上市公司股票交易被实施退市风险警示的，在股票简称前冠以“</w:t>
      </w:r>
      <w:r>
        <w:rPr>
          <w:rFonts w:eastAsia="方正仿宋_GBK"/>
          <w:kern w:val="0"/>
          <w:sz w:val="32"/>
          <w:szCs w:val="32"/>
        </w:rPr>
        <w:t>*ST</w:t>
      </w:r>
      <w:r>
        <w:rPr>
          <w:rFonts w:hint="eastAsia" w:ascii="方正仿宋_GBK" w:hAnsi="方正仿宋_GBK" w:eastAsia="方正仿宋_GBK" w:cs="方正仿宋_GBK"/>
          <w:kern w:val="0"/>
          <w:sz w:val="32"/>
          <w:szCs w:val="32"/>
        </w:rPr>
        <w:t>”字样，被实施其他风险警示的，在股票简称前冠以“</w:t>
      </w:r>
      <w:r>
        <w:rPr>
          <w:rFonts w:eastAsia="方正仿宋_GBK"/>
          <w:kern w:val="0"/>
          <w:sz w:val="32"/>
          <w:szCs w:val="32"/>
        </w:rPr>
        <w:t>ST</w:t>
      </w:r>
      <w:r>
        <w:rPr>
          <w:rFonts w:hint="eastAsia" w:ascii="方正仿宋_GBK" w:hAnsi="方正仿宋_GBK" w:eastAsia="方正仿宋_GBK" w:cs="方正仿宋_GBK"/>
          <w:kern w:val="0"/>
          <w:sz w:val="32"/>
          <w:szCs w:val="32"/>
        </w:rPr>
        <w:t>”字样，以区别于其他股票。公司同时存在退市风险警示和其他风险警示情形的，在股票简称前冠以“</w:t>
      </w:r>
      <w:r>
        <w:rPr>
          <w:rFonts w:eastAsia="方正仿宋_GBK"/>
          <w:kern w:val="0"/>
          <w:sz w:val="32"/>
          <w:szCs w:val="32"/>
        </w:rPr>
        <w:t>*ST</w:t>
      </w:r>
      <w:r>
        <w:rPr>
          <w:rFonts w:hint="eastAsia" w:ascii="方正仿宋_GBK" w:hAnsi="方正仿宋_GBK" w:eastAsia="方正仿宋_GBK" w:cs="方正仿宋_GBK"/>
          <w:kern w:val="0"/>
          <w:sz w:val="32"/>
          <w:szCs w:val="32"/>
        </w:rPr>
        <w:t>”字样。</w:t>
      </w:r>
    </w:p>
    <w:p w14:paraId="5A9C6B03">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退市风险警示股票和其他风险警示股票进入风险警示板交易。</w:t>
      </w:r>
    </w:p>
    <w:p w14:paraId="72B044FB">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四、投资者在参与风险警示股票交易前，应</w:t>
      </w:r>
      <w:r>
        <w:rPr>
          <w:rFonts w:hint="eastAsia" w:ascii="方正仿宋_GBK" w:hAnsi="方正仿宋_GBK" w:eastAsia="方正仿宋_GBK" w:cs="方正仿宋_GBK"/>
          <w:kern w:val="0"/>
          <w:sz w:val="32"/>
          <w:szCs w:val="32"/>
          <w:lang w:val="en-US" w:eastAsia="zh-CN"/>
        </w:rPr>
        <w:t>当</w:t>
      </w:r>
      <w:r>
        <w:rPr>
          <w:rFonts w:hint="eastAsia" w:ascii="方正仿宋_GBK" w:hAnsi="方正仿宋_GBK" w:eastAsia="方正仿宋_GBK" w:cs="方正仿宋_GBK"/>
          <w:kern w:val="0"/>
          <w:sz w:val="32"/>
          <w:szCs w:val="32"/>
        </w:rPr>
        <w:t>充分了解风险警示股票行情揭示可能与其他股票不同。</w:t>
      </w:r>
    </w:p>
    <w:p w14:paraId="377904EC">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五、投资者当日通过竞价交易、大宗交易和盘后</w:t>
      </w:r>
      <w:r>
        <w:rPr>
          <w:rFonts w:hint="eastAsia" w:ascii="方正仿宋_GBK" w:hAnsi="方正仿宋_GBK" w:eastAsia="方正仿宋_GBK" w:cs="方正仿宋_GBK"/>
          <w:kern w:val="0"/>
          <w:sz w:val="32"/>
          <w:szCs w:val="32"/>
          <w:lang w:val="en-US" w:eastAsia="zh-CN"/>
        </w:rPr>
        <w:t>固定价格</w:t>
      </w:r>
      <w:r>
        <w:rPr>
          <w:rFonts w:hint="eastAsia" w:ascii="方正仿宋_GBK" w:hAnsi="方正仿宋_GBK" w:eastAsia="方正仿宋_GBK" w:cs="方正仿宋_GBK"/>
          <w:kern w:val="0"/>
          <w:sz w:val="32"/>
          <w:szCs w:val="32"/>
        </w:rPr>
        <w:t>交易累计买入的单只风险警示股票，委托买入数量与当日已买入数量及已申报买入但尚未成交、也未撤销的数量之和，不得超过</w:t>
      </w:r>
      <w:r>
        <w:rPr>
          <w:rFonts w:eastAsia="方正仿宋_GBK"/>
          <w:kern w:val="0"/>
          <w:sz w:val="32"/>
          <w:szCs w:val="32"/>
        </w:rPr>
        <w:t>50</w:t>
      </w:r>
      <w:r>
        <w:rPr>
          <w:rFonts w:hint="eastAsia" w:ascii="方正仿宋_GBK" w:hAnsi="方正仿宋_GBK" w:eastAsia="方正仿宋_GBK" w:cs="方正仿宋_GBK"/>
          <w:kern w:val="0"/>
          <w:sz w:val="32"/>
          <w:szCs w:val="32"/>
        </w:rPr>
        <w:t>万股，上市公司回购、</w:t>
      </w:r>
      <w:r>
        <w:rPr>
          <w:rFonts w:eastAsia="方正仿宋_GBK"/>
          <w:kern w:val="0"/>
          <w:sz w:val="32"/>
          <w:szCs w:val="32"/>
        </w:rPr>
        <w:t>5</w:t>
      </w:r>
      <w:r>
        <w:rPr>
          <w:rFonts w:hint="eastAsia" w:ascii="方正仿宋_GBK" w:hAnsi="方正仿宋_GBK" w:eastAsia="方正仿宋_GBK" w:cs="方正仿宋_GBK"/>
          <w:kern w:val="0"/>
          <w:sz w:val="32"/>
          <w:szCs w:val="32"/>
        </w:rPr>
        <w:t>%以上股东根据已披露的增持计划增持股份等情形除外。</w:t>
      </w:r>
    </w:p>
    <w:p w14:paraId="24508FED">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投资者当日累计买入风险警示股票数量，按照该投资者同一证券账户在单个或者多个证券公司的不同证券营业部的买入数量、以本人名义开立的单个或者多个普通证券账户与信用证券账户的买入数量合并计算。</w:t>
      </w:r>
    </w:p>
    <w:p w14:paraId="7BCC72ED">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六、投资者应当特别关注股票被实施风险警示的上市公司发布的提示性公告，及时从上市公司网站、证券交易所网站、符合中国证监会规定条件的信息披露媒体以及证券公司网站等渠道获取相关信息。</w:t>
      </w:r>
    </w:p>
    <w:p w14:paraId="0DB34FD5">
      <w:pPr>
        <w:adjustRightInd w:val="0"/>
        <w:snapToGrid w:val="0"/>
        <w:spacing w:line="56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七、风险警示股票相关法律、行政法规、部门规章、规范性文件（以下简称“法律法规”）、证券交易所和登记结算机构业务规则可能根据市场情况进行制定、废止和修改，投资者应当及时予以关注和了解。</w:t>
      </w:r>
    </w:p>
    <w:p w14:paraId="1D476D3A">
      <w:pPr>
        <w:adjustRightInd w:val="0"/>
        <w:snapToGrid w:val="0"/>
        <w:spacing w:line="560" w:lineRule="exact"/>
        <w:ind w:firstLine="640" w:firstLineChars="200"/>
        <w:rPr>
          <w:rFonts w:hint="eastAsia" w:ascii="方正仿宋_GBK" w:hAnsi="方正仿宋_GBK" w:eastAsia="方正仿宋_GBK" w:cs="方正仿宋_GBK"/>
          <w:kern w:val="0"/>
          <w:sz w:val="32"/>
          <w:szCs w:val="32"/>
        </w:rPr>
      </w:pPr>
    </w:p>
    <w:p w14:paraId="6CA6EF49">
      <w:pPr>
        <w:adjustRightInd w:val="0"/>
        <w:snapToGrid w:val="0"/>
        <w:spacing w:line="560" w:lineRule="exact"/>
        <w:ind w:firstLine="643" w:firstLineChars="200"/>
        <w:rPr>
          <w:rFonts w:ascii="方正仿宋_GBK" w:hAnsi="方正仿宋_GBK" w:eastAsia="方正仿宋_GBK" w:cs="方正仿宋_GBK"/>
          <w:b/>
          <w:kern w:val="0"/>
          <w:sz w:val="32"/>
          <w:szCs w:val="32"/>
        </w:rPr>
      </w:pPr>
      <w:r>
        <w:rPr>
          <w:rFonts w:hint="eastAsia" w:ascii="方正仿宋_GBK" w:hAnsi="方正仿宋_GBK" w:eastAsia="方正仿宋_GBK" w:cs="方正仿宋_GBK"/>
          <w:b/>
          <w:kern w:val="0"/>
          <w:sz w:val="32"/>
          <w:szCs w:val="32"/>
        </w:rPr>
        <w:t>本《风险揭示书》的提示事项仅为列举性质，未能详尽列明风险警示股票交易的所有风险，投资者在参与交易前，应当认真阅读有关法律法规、证券交易所和登记结算机构业务规则等相关规定，对其他可能存在的风险因素也应当有所了解和掌握，并确信自己已做好足够的风险评估与财务安排，避免因参与风险警示股票交易遭受难以承受的损失。</w:t>
      </w:r>
    </w:p>
    <w:p w14:paraId="32F014D1">
      <w:pPr>
        <w:adjustRightInd w:val="0"/>
        <w:snapToGrid w:val="0"/>
        <w:spacing w:line="560" w:lineRule="exact"/>
        <w:ind w:firstLine="643" w:firstLineChars="200"/>
        <w:rPr>
          <w:rFonts w:ascii="方正仿宋_GBK" w:hAnsi="Courier New" w:eastAsia="方正仿宋_GBK"/>
          <w:b/>
          <w:bCs/>
          <w:color w:val="000000" w:themeColor="text1"/>
          <w:kern w:val="0"/>
          <w:sz w:val="32"/>
          <w:szCs w:val="32"/>
          <w14:textFill>
            <w14:solidFill>
              <w14:schemeClr w14:val="tx1"/>
            </w14:solidFill>
          </w14:textFill>
        </w:rPr>
      </w:pPr>
      <w:r>
        <w:rPr>
          <w:rFonts w:hint="eastAsia" w:ascii="方正仿宋_GBK" w:hAnsi="Courier New" w:eastAsia="方正仿宋_GBK"/>
          <w:b/>
          <w:bCs/>
          <w:color w:val="000000" w:themeColor="text1"/>
          <w:kern w:val="0"/>
          <w:sz w:val="32"/>
          <w:szCs w:val="32"/>
          <w14:textFill>
            <w14:solidFill>
              <w14:schemeClr w14:val="tx1"/>
            </w14:solidFill>
          </w14:textFill>
        </w:rPr>
        <w:t>投资者应提高对非法证券活动的识别判断能力，务必注意风险，在遇到类似非法证券活动时，应及时向中国证监会驻当地的派出机构进行咨询或举报，自觉做到知法、懂法、守法，不被虚假宣传所迷惑，不参与非法证券活动，避免上当受骗，保护自身合法权益不受侵害。</w:t>
      </w:r>
    </w:p>
    <w:p w14:paraId="6B4D595C">
      <w:pPr>
        <w:adjustRightInd w:val="0"/>
        <w:snapToGrid w:val="0"/>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特别提示：为了方便本公司更加及时全面的向您进行风险警示股票的风险揭示，请您下载本公司系统支持完备的交易软件进行风险警示股票的交易。</w:t>
      </w:r>
    </w:p>
    <w:p w14:paraId="06CACDED">
      <w:pPr>
        <w:adjustRightInd w:val="0"/>
        <w:snapToGrid w:val="0"/>
        <w:spacing w:line="560" w:lineRule="exact"/>
        <w:ind w:firstLine="643" w:firstLineChars="200"/>
        <w:rPr>
          <w:rFonts w:ascii="方正仿宋_GBK" w:hAnsi="方正仿宋_GBK" w:eastAsia="方正仿宋_GBK" w:cs="方正仿宋_GBK"/>
          <w:b/>
          <w:bCs/>
          <w:kern w:val="0"/>
          <w:sz w:val="32"/>
          <w:szCs w:val="32"/>
        </w:rPr>
      </w:pPr>
      <w:r>
        <w:rPr>
          <w:rFonts w:hint="eastAsia" w:ascii="方正仿宋_GBK" w:hAnsi="方正仿宋_GBK" w:eastAsia="方正仿宋_GBK" w:cs="方正仿宋_GBK"/>
          <w:b/>
          <w:bCs/>
          <w:kern w:val="0"/>
          <w:sz w:val="32"/>
          <w:szCs w:val="32"/>
        </w:rPr>
        <w:t>投资者确认已知晓并理解《风险揭示书》的全部内容，在本《风险揭示书》上签字，即表明投资者已经理解并愿意自行承担参与风险警示股票交易的风险和损失。</w:t>
      </w:r>
    </w:p>
    <w:p w14:paraId="0790B2B1">
      <w:pPr>
        <w:adjustRightInd w:val="0"/>
        <w:snapToGrid w:val="0"/>
        <w:spacing w:line="560" w:lineRule="exact"/>
        <w:ind w:firstLine="643" w:firstLineChars="200"/>
        <w:jc w:val="left"/>
        <w:rPr>
          <w:rFonts w:ascii="方正仿宋_GBK" w:hAnsi="方正仿宋_GBK" w:eastAsia="方正仿宋_GBK" w:cs="方正仿宋_GBK"/>
          <w:b/>
          <w:bCs/>
          <w:kern w:val="0"/>
          <w:sz w:val="32"/>
          <w:szCs w:val="32"/>
        </w:rPr>
      </w:pPr>
    </w:p>
    <w:p w14:paraId="1677E1FB">
      <w:pPr>
        <w:wordWrap w:val="0"/>
        <w:adjustRightInd w:val="0"/>
        <w:snapToGrid w:val="0"/>
        <w:spacing w:line="560" w:lineRule="exact"/>
        <w:ind w:firstLine="640" w:firstLineChars="200"/>
        <w:jc w:val="right"/>
        <w:rPr>
          <w:rFonts w:ascii="方正仿宋_GBK" w:hAnsi="仿宋" w:eastAsia="方正仿宋_GBK"/>
          <w:color w:val="000000" w:themeColor="text1"/>
          <w:sz w:val="32"/>
          <w:szCs w:val="32"/>
          <w14:textFill>
            <w14:solidFill>
              <w14:schemeClr w14:val="tx1"/>
            </w14:solidFill>
          </w14:textFill>
        </w:rPr>
      </w:pPr>
      <w:r>
        <w:rPr>
          <w:rFonts w:hint="eastAsia" w:ascii="方正仿宋_GBK" w:hAnsi="仿宋" w:eastAsia="方正仿宋_GBK"/>
          <w:color w:val="000000" w:themeColor="text1"/>
          <w:sz w:val="32"/>
          <w:szCs w:val="32"/>
          <w14:textFill>
            <w14:solidFill>
              <w14:schemeClr w14:val="tx1"/>
            </w14:solidFill>
          </w14:textFill>
        </w:rPr>
        <w:t xml:space="preserve">投资者：                  </w:t>
      </w:r>
    </w:p>
    <w:p w14:paraId="1E0D769F">
      <w:pPr>
        <w:adjustRightInd w:val="0"/>
        <w:snapToGrid w:val="0"/>
        <w:spacing w:line="560" w:lineRule="exact"/>
        <w:ind w:firstLine="640" w:firstLineChars="200"/>
        <w:jc w:val="right"/>
        <w:rPr>
          <w:rFonts w:ascii="方正仿宋_GBK" w:hAnsi="仿宋" w:eastAsia="方正仿宋_GBK"/>
          <w:color w:val="000000" w:themeColor="text1"/>
          <w:sz w:val="32"/>
          <w:szCs w:val="32"/>
          <w14:textFill>
            <w14:solidFill>
              <w14:schemeClr w14:val="tx1"/>
            </w14:solidFill>
          </w14:textFill>
        </w:rPr>
      </w:pPr>
    </w:p>
    <w:p w14:paraId="561175CC">
      <w:pPr>
        <w:adjustRightInd w:val="0"/>
        <w:snapToGrid w:val="0"/>
        <w:spacing w:line="560" w:lineRule="exact"/>
        <w:jc w:val="right"/>
        <w:rPr>
          <w:rFonts w:ascii="方正仿宋_GBK" w:hAnsi="仿宋" w:eastAsia="方正仿宋_GBK"/>
          <w:color w:val="000000" w:themeColor="text1"/>
          <w:sz w:val="32"/>
          <w:szCs w:val="32"/>
          <w14:textFill>
            <w14:solidFill>
              <w14:schemeClr w14:val="tx1"/>
            </w14:solidFill>
          </w14:textFill>
        </w:rPr>
      </w:pPr>
      <w:r>
        <w:rPr>
          <w:rFonts w:hint="eastAsia" w:ascii="方正仿宋_GBK" w:hAnsi="仿宋" w:eastAsia="方正仿宋_GBK"/>
          <w:color w:val="000000" w:themeColor="text1"/>
          <w:sz w:val="32"/>
          <w:szCs w:val="32"/>
          <w14:textFill>
            <w14:solidFill>
              <w14:schemeClr w14:val="tx1"/>
            </w14:solidFill>
          </w14:textFill>
        </w:rPr>
        <w:t>（自然人投资者签字/非自然人投资者盖章及经办人签字）</w:t>
      </w:r>
    </w:p>
    <w:p w14:paraId="5D63CBE7">
      <w:pPr>
        <w:adjustRightInd w:val="0"/>
        <w:snapToGrid w:val="0"/>
        <w:spacing w:line="560" w:lineRule="exact"/>
        <w:jc w:val="right"/>
        <w:rPr>
          <w:rFonts w:ascii="方正仿宋_GBK" w:hAnsi="仿宋" w:eastAsia="方正仿宋_GBK"/>
          <w:color w:val="000000" w:themeColor="text1"/>
          <w:sz w:val="32"/>
          <w:szCs w:val="32"/>
          <w14:textFill>
            <w14:solidFill>
              <w14:schemeClr w14:val="tx1"/>
            </w14:solidFill>
          </w14:textFill>
        </w:rPr>
      </w:pPr>
    </w:p>
    <w:p w14:paraId="38AACDA1">
      <w:pPr>
        <w:ind w:firstLine="4160" w:firstLineChars="1300"/>
      </w:pPr>
      <w:r>
        <w:rPr>
          <w:rFonts w:hint="eastAsia" w:ascii="方正仿宋_GBK" w:hAnsi="仿宋" w:eastAsia="方正仿宋_GBK"/>
          <w:color w:val="000000" w:themeColor="text1"/>
          <w:sz w:val="32"/>
          <w:szCs w:val="32"/>
          <w14:textFill>
            <w14:solidFill>
              <w14:schemeClr w14:val="tx1"/>
            </w14:solidFill>
          </w14:textFill>
        </w:rPr>
        <w:t xml:space="preserve">签署日期：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C71A0CED-5FEB-4CDF-8DEA-547AF6BDA5A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B4637C3-34CE-4968-AD90-C4B1FBC74845}"/>
  </w:font>
  <w:font w:name="方正仿宋_GBK">
    <w:panose1 w:val="02000000000000000000"/>
    <w:charset w:val="86"/>
    <w:family w:val="script"/>
    <w:pitch w:val="default"/>
    <w:sig w:usb0="A00002BF" w:usb1="38CF7CFA" w:usb2="00082016" w:usb3="00000000" w:csb0="00040001" w:csb1="00000000"/>
    <w:embedRegular r:id="rId3" w:fontKey="{D34DA052-27CF-4202-8513-14F4520E9407}"/>
  </w:font>
  <w:font w:name="方正小标宋_GBK">
    <w:panose1 w:val="02000000000000000000"/>
    <w:charset w:val="86"/>
    <w:family w:val="script"/>
    <w:pitch w:val="default"/>
    <w:sig w:usb0="A00002BF" w:usb1="38CF7CFA" w:usb2="00082016" w:usb3="00000000" w:csb0="00040001" w:csb1="00000000"/>
    <w:embedRegular r:id="rId4" w:fontKey="{C8098F0C-4F8A-4C97-A8CE-4EB88F870E4C}"/>
  </w:font>
  <w:font w:name="仿宋">
    <w:panose1 w:val="02010609060101010101"/>
    <w:charset w:val="86"/>
    <w:family w:val="modern"/>
    <w:pitch w:val="default"/>
    <w:sig w:usb0="800002BF" w:usb1="38CF7CFA" w:usb2="00000016" w:usb3="00000000" w:csb0="00040001" w:csb1="00000000"/>
    <w:embedRegular r:id="rId5" w:fontKey="{07F9BDEF-58EA-40AC-B617-562D39749888}"/>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yM2NlM2Y4N2ExYTFkZTQ0YTZiZGU5NzU4MTY4ZjYifQ=="/>
  </w:docVars>
  <w:rsids>
    <w:rsidRoot w:val="429B561D"/>
    <w:rsid w:val="0AD4017A"/>
    <w:rsid w:val="0CC76F66"/>
    <w:rsid w:val="1C950F95"/>
    <w:rsid w:val="2DC8165B"/>
    <w:rsid w:val="429B561D"/>
    <w:rsid w:val="4BCB1DE3"/>
    <w:rsid w:val="76880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1352</Words>
  <Characters>1359</Characters>
  <Lines>0</Lines>
  <Paragraphs>0</Paragraphs>
  <TotalTime>2</TotalTime>
  <ScaleCrop>false</ScaleCrop>
  <LinksUpToDate>false</LinksUpToDate>
  <CharactersWithSpaces>1388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2022-08-28T09:11:00Z</dcterms:created>
  <dc:creator>沙玉兰</dc:creator>
  <cp:lastModifiedBy>Cannibal</cp:lastModifiedBy>
  <dcterms:modified xsi:type="dcterms:W3CDTF">2026-07-02T07:51:36Z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23767D702B1A4ACE96C7D399324BA678</vt:lpwstr>
  </property>
  <property fmtid="{D5CDD505-2E9C-101B-9397-08002B2CF9AE}" pid="4" name="KSOTemplateDocerSaveRecord">
    <vt:lpwstr>eyJoZGlkIjoiNDE4YWY1Y2RmOTRjOWUzN2E5MzQ2OWExM2FiMjU4YjMiLCJ1c2VySWQiOiI0NTEwMTY4ODEifQ==</vt:lpwstr>
  </property>
</Properties>
</file>